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0D7C" w14:textId="00F5BD92" w:rsidR="006501B9" w:rsidRDefault="0042467A" w:rsidP="006501B9">
      <w:pPr>
        <w:tabs>
          <w:tab w:val="decimal" w:pos="2268"/>
          <w:tab w:val="left" w:pos="7480"/>
        </w:tabs>
        <w:jc w:val="center"/>
        <w:rPr>
          <w:b/>
          <w:caps/>
        </w:rPr>
      </w:pPr>
      <w:bookmarkStart w:id="0" w:name="_GoBack"/>
      <w:bookmarkEnd w:id="0"/>
      <w:r w:rsidRPr="00295728">
        <w:rPr>
          <w:b/>
          <w:caps/>
        </w:rPr>
        <w:t>EXTRACT of</w:t>
      </w:r>
      <w:r w:rsidR="006501B9">
        <w:rPr>
          <w:b/>
          <w:caps/>
        </w:rPr>
        <w:t xml:space="preserve"> </w:t>
      </w:r>
      <w:r w:rsidR="00547334">
        <w:rPr>
          <w:b/>
          <w:caps/>
        </w:rPr>
        <w:t xml:space="preserve">BIOENGINEERING </w:t>
      </w:r>
      <w:r w:rsidR="006501B9">
        <w:rPr>
          <w:b/>
          <w:caps/>
        </w:rPr>
        <w:t xml:space="preserve">study field </w:t>
      </w:r>
      <w:r w:rsidRPr="00295728">
        <w:rPr>
          <w:b/>
          <w:caps/>
        </w:rPr>
        <w:t xml:space="preserve">at </w:t>
      </w:r>
      <w:r w:rsidR="00547334" w:rsidRPr="00547334">
        <w:rPr>
          <w:b/>
          <w:caps/>
        </w:rPr>
        <w:t>Vilnius Gediminas Technical University</w:t>
      </w:r>
      <w:r w:rsidR="006501B9">
        <w:rPr>
          <w:b/>
          <w:caps/>
        </w:rPr>
        <w:t xml:space="preserve"> </w:t>
      </w:r>
    </w:p>
    <w:p w14:paraId="07E965A9" w14:textId="703FEB38" w:rsidR="0042467A" w:rsidRPr="006501B9" w:rsidRDefault="00547334" w:rsidP="006501B9">
      <w:pPr>
        <w:tabs>
          <w:tab w:val="decimal" w:pos="2268"/>
          <w:tab w:val="left" w:pos="7480"/>
        </w:tabs>
        <w:jc w:val="center"/>
        <w:rPr>
          <w:b/>
          <w:caps/>
        </w:rPr>
      </w:pPr>
      <w:r w:rsidRPr="00547334">
        <w:rPr>
          <w:b/>
          <w:caps/>
        </w:rPr>
        <w:t>1</w:t>
      </w:r>
      <w:r w:rsidRPr="000F20ED">
        <w:rPr>
          <w:b/>
          <w:caps/>
        </w:rPr>
        <w:t>st</w:t>
      </w:r>
      <w:r w:rsidRPr="00547334">
        <w:rPr>
          <w:b/>
          <w:caps/>
        </w:rPr>
        <w:t xml:space="preserve"> </w:t>
      </w:r>
      <w:r>
        <w:rPr>
          <w:b/>
          <w:caps/>
        </w:rPr>
        <w:t xml:space="preserve">of </w:t>
      </w:r>
      <w:r w:rsidRPr="00547334">
        <w:rPr>
          <w:b/>
          <w:caps/>
        </w:rPr>
        <w:t xml:space="preserve">July </w:t>
      </w:r>
      <w:r w:rsidR="00384F20">
        <w:rPr>
          <w:b/>
          <w:caps/>
        </w:rPr>
        <w:t xml:space="preserve">2022 </w:t>
      </w:r>
      <w:r w:rsidR="0042467A" w:rsidRPr="00295728">
        <w:rPr>
          <w:b/>
          <w:caps/>
        </w:rPr>
        <w:t xml:space="preserve">evaluation report NO. </w:t>
      </w:r>
      <w:r>
        <w:rPr>
          <w:b/>
          <w:color w:val="000000"/>
        </w:rPr>
        <w:t>SV4-56</w:t>
      </w:r>
    </w:p>
    <w:p w14:paraId="07E965AA" w14:textId="77777777" w:rsidR="0042467A" w:rsidRDefault="0042467A" w:rsidP="006501B9">
      <w:pPr>
        <w:jc w:val="center"/>
        <w:rPr>
          <w:sz w:val="16"/>
          <w:lang w:val="lt-LT"/>
        </w:rPr>
      </w:pPr>
    </w:p>
    <w:p w14:paraId="5F2FA3ED" w14:textId="77777777" w:rsidR="00384F20" w:rsidRDefault="00384F20" w:rsidP="006501B9">
      <w:pPr>
        <w:jc w:val="center"/>
        <w:rPr>
          <w:sz w:val="16"/>
          <w:lang w:val="lt-LT"/>
        </w:rPr>
      </w:pPr>
    </w:p>
    <w:p w14:paraId="7BA9927A" w14:textId="77777777" w:rsidR="00384F20" w:rsidRDefault="00384F20" w:rsidP="006501B9">
      <w:pPr>
        <w:jc w:val="center"/>
        <w:rPr>
          <w:sz w:val="16"/>
          <w:lang w:val="lt-LT"/>
        </w:rPr>
      </w:pPr>
    </w:p>
    <w:p w14:paraId="33655A77" w14:textId="77777777" w:rsidR="00384F20" w:rsidRDefault="00384F20" w:rsidP="006501B9">
      <w:pPr>
        <w:jc w:val="center"/>
        <w:rPr>
          <w:sz w:val="16"/>
          <w:lang w:val="lt-LT"/>
        </w:rPr>
      </w:pPr>
    </w:p>
    <w:p w14:paraId="41B09A2F" w14:textId="77777777" w:rsidR="00384F20" w:rsidRPr="00295728" w:rsidRDefault="00384F20" w:rsidP="006501B9">
      <w:pPr>
        <w:jc w:val="center"/>
        <w:rPr>
          <w:sz w:val="16"/>
          <w:lang w:val="lt-LT"/>
        </w:rPr>
      </w:pPr>
    </w:p>
    <w:p w14:paraId="07E965AB" w14:textId="77777777" w:rsidR="0042467A" w:rsidRPr="00295728" w:rsidRDefault="0042467A" w:rsidP="0042467A">
      <w:pPr>
        <w:rPr>
          <w:sz w:val="16"/>
          <w:lang w:val="lt-LT"/>
        </w:rPr>
      </w:pPr>
    </w:p>
    <w:p w14:paraId="45BA6D5F" w14:textId="77777777" w:rsidR="006501B9" w:rsidRPr="004715B5" w:rsidRDefault="006501B9" w:rsidP="006501B9">
      <w:pPr>
        <w:jc w:val="center"/>
        <w:rPr>
          <w:rFonts w:ascii="Cambria" w:eastAsia="Calibri" w:hAnsi="Cambria"/>
          <w:i/>
          <w:sz w:val="36"/>
          <w:szCs w:val="36"/>
          <w:lang w:eastAsia="lt-LT"/>
        </w:rPr>
      </w:pPr>
      <w:r>
        <w:rPr>
          <w:i/>
          <w:noProof/>
          <w:sz w:val="36"/>
          <w:szCs w:val="36"/>
          <w:lang w:val="lt-LT" w:eastAsia="lt-LT"/>
        </w:rPr>
        <w:drawing>
          <wp:inline distT="0" distB="0" distL="0" distR="0" wp14:anchorId="5947A550" wp14:editId="2C9DE0EE">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1C02A9CF" w14:textId="533E607A" w:rsidR="006501B9" w:rsidRPr="004715B5" w:rsidRDefault="006501B9"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w:t>
      </w:r>
      <w:r w:rsidR="00C72D32">
        <w:rPr>
          <w:rFonts w:ascii="Cambria" w:eastAsia="Calibri" w:hAnsi="Cambria"/>
          <w:color w:val="136C73"/>
          <w:sz w:val="28"/>
          <w:szCs w:val="28"/>
          <w:lang w:eastAsia="lt-LT"/>
        </w:rPr>
        <w:t>RE</w:t>
      </w:r>
      <w:r>
        <w:rPr>
          <w:rFonts w:ascii="Cambria" w:eastAsia="Calibri" w:hAnsi="Cambria"/>
          <w:color w:val="136C73"/>
          <w:sz w:val="28"/>
          <w:szCs w:val="28"/>
          <w:lang w:eastAsia="lt-LT"/>
        </w:rPr>
        <w:t xml:space="preserve"> FOR QUALITY ASSESSMENT IN HIGHER EDUCATION</w:t>
      </w:r>
    </w:p>
    <w:p w14:paraId="2D392AF0" w14:textId="77777777" w:rsidR="006501B9" w:rsidRDefault="006501B9" w:rsidP="006501B9">
      <w:pPr>
        <w:rPr>
          <w:rFonts w:ascii="Cambria" w:eastAsia="Calibri" w:hAnsi="Cambria"/>
          <w:color w:val="136C73"/>
          <w:lang w:eastAsia="lt-LT"/>
        </w:rPr>
      </w:pPr>
    </w:p>
    <w:p w14:paraId="2F17C3CF" w14:textId="77777777" w:rsidR="00384F20" w:rsidRDefault="00384F20" w:rsidP="006501B9">
      <w:pPr>
        <w:rPr>
          <w:rFonts w:ascii="Cambria" w:eastAsia="Calibri" w:hAnsi="Cambria"/>
          <w:color w:val="136C73"/>
          <w:lang w:eastAsia="lt-LT"/>
        </w:rPr>
      </w:pPr>
    </w:p>
    <w:p w14:paraId="3DBFA1A9" w14:textId="77777777" w:rsidR="00384F20" w:rsidRPr="004715B5" w:rsidRDefault="00384F20" w:rsidP="006501B9">
      <w:pPr>
        <w:rPr>
          <w:rFonts w:ascii="Cambria" w:eastAsia="Calibri" w:hAnsi="Cambria"/>
          <w:color w:val="136C73"/>
          <w:lang w:eastAsia="lt-LT"/>
        </w:rPr>
      </w:pPr>
    </w:p>
    <w:p w14:paraId="053110A2" w14:textId="77777777"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4657C95A" w14:textId="77777777"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011B627" w14:textId="77777777" w:rsidR="00A0277F" w:rsidRPr="00655C0A" w:rsidRDefault="00A0277F" w:rsidP="006501B9">
      <w:pPr>
        <w:jc w:val="center"/>
        <w:rPr>
          <w:rFonts w:ascii="Cambria" w:eastAsia="Calibri" w:hAnsi="Cambria"/>
          <w:b/>
          <w:color w:val="136C73"/>
          <w:sz w:val="28"/>
          <w:szCs w:val="28"/>
          <w:lang w:eastAsia="lt-LT"/>
        </w:rPr>
      </w:pPr>
    </w:p>
    <w:p w14:paraId="603B0C3F" w14:textId="57001DF8"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r w:rsidR="00547334">
        <w:rPr>
          <w:rFonts w:ascii="Cambria" w:eastAsia="Calibri" w:hAnsi="Cambria"/>
          <w:b/>
          <w:color w:val="136C73"/>
          <w:sz w:val="28"/>
          <w:szCs w:val="28"/>
          <w:lang w:eastAsia="lt-LT"/>
        </w:rPr>
        <w:t>OF BIOENGINEERING</w:t>
      </w:r>
    </w:p>
    <w:p w14:paraId="1285AE38" w14:textId="77777777" w:rsidR="00A0277F" w:rsidRPr="00655C0A" w:rsidRDefault="00A0277F" w:rsidP="006501B9">
      <w:pPr>
        <w:jc w:val="center"/>
        <w:rPr>
          <w:rFonts w:ascii="Cambria" w:eastAsia="Calibri" w:hAnsi="Cambria"/>
          <w:color w:val="136C73"/>
          <w:sz w:val="28"/>
          <w:szCs w:val="28"/>
          <w:lang w:eastAsia="lt-LT"/>
        </w:rPr>
      </w:pPr>
    </w:p>
    <w:p w14:paraId="5451BC9B" w14:textId="32708DE1" w:rsidR="006501B9" w:rsidRPr="00655C0A" w:rsidRDefault="000F20ED"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AT</w:t>
      </w:r>
      <w:r w:rsidR="006501B9" w:rsidRPr="00655C0A">
        <w:rPr>
          <w:rFonts w:ascii="Cambria" w:eastAsia="Calibri" w:hAnsi="Cambria"/>
          <w:color w:val="136C73"/>
          <w:sz w:val="28"/>
          <w:szCs w:val="28"/>
          <w:lang w:eastAsia="lt-LT"/>
        </w:rPr>
        <w:t xml:space="preserve"> </w:t>
      </w:r>
      <w:r w:rsidR="0093147A" w:rsidRPr="0093147A">
        <w:rPr>
          <w:rFonts w:ascii="Cambria" w:eastAsia="Calibri" w:hAnsi="Cambria"/>
          <w:color w:val="136C73"/>
          <w:sz w:val="28"/>
          <w:szCs w:val="28"/>
          <w:lang w:eastAsia="lt-LT"/>
        </w:rPr>
        <w:t>VILNIUS GEDIMINAS TECHNICAL UNIVERSITY</w:t>
      </w:r>
    </w:p>
    <w:p w14:paraId="5EBD597A" w14:textId="77777777" w:rsidR="006501B9" w:rsidRDefault="006501B9" w:rsidP="006501B9">
      <w:pPr>
        <w:jc w:val="center"/>
        <w:rPr>
          <w:rFonts w:ascii="Cambria" w:eastAsia="Calibri" w:hAnsi="Cambria"/>
          <w:sz w:val="36"/>
          <w:szCs w:val="36"/>
          <w:lang w:eastAsia="lt-LT"/>
        </w:rPr>
      </w:pPr>
    </w:p>
    <w:p w14:paraId="74E674E9" w14:textId="77777777" w:rsidR="00A0277F" w:rsidRDefault="00A0277F" w:rsidP="006501B9">
      <w:pPr>
        <w:jc w:val="center"/>
        <w:rPr>
          <w:rFonts w:ascii="Cambria" w:eastAsia="Calibri" w:hAnsi="Cambria"/>
          <w:sz w:val="36"/>
          <w:szCs w:val="36"/>
          <w:lang w:eastAsia="lt-LT"/>
        </w:rPr>
      </w:pPr>
    </w:p>
    <w:p w14:paraId="4820094D" w14:textId="77777777" w:rsidR="00A0277F" w:rsidRPr="004715B5" w:rsidRDefault="00A0277F" w:rsidP="006501B9">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715B5" w14:paraId="1A49DAE1" w14:textId="77777777" w:rsidTr="007935F1">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211E8EFD" w14:textId="77777777" w:rsidR="006501B9" w:rsidRPr="004715B5" w:rsidRDefault="006501B9" w:rsidP="007935F1">
            <w:pPr>
              <w:tabs>
                <w:tab w:val="left" w:pos="0"/>
              </w:tabs>
              <w:rPr>
                <w:rFonts w:ascii="Cambria" w:eastAsia="Calibri" w:hAnsi="Cambria"/>
                <w:b/>
                <w:color w:val="FFFFFF"/>
                <w:lang w:eastAsia="lt-LT"/>
              </w:rPr>
            </w:pPr>
            <w:r>
              <w:rPr>
                <w:rFonts w:ascii="Cambria" w:eastAsia="Calibri" w:hAnsi="Cambria"/>
                <w:b/>
                <w:color w:val="FFFFFF"/>
                <w:lang w:eastAsia="lt-LT"/>
              </w:rPr>
              <w:t>Expert panel:</w:t>
            </w:r>
          </w:p>
          <w:p w14:paraId="1FF4204C" w14:textId="77777777" w:rsidR="0093147A" w:rsidRPr="0093147A" w:rsidRDefault="0093147A" w:rsidP="0093147A">
            <w:pPr>
              <w:numPr>
                <w:ilvl w:val="0"/>
                <w:numId w:val="5"/>
              </w:numPr>
              <w:tabs>
                <w:tab w:val="left" w:pos="0"/>
              </w:tabs>
              <w:spacing w:line="360" w:lineRule="auto"/>
              <w:rPr>
                <w:rFonts w:ascii="Cambria" w:eastAsia="Calibri" w:hAnsi="Cambria"/>
                <w:b/>
                <w:color w:val="FFFFFF"/>
                <w:lang w:eastAsia="lt-LT"/>
              </w:rPr>
            </w:pPr>
            <w:r w:rsidRPr="0093147A">
              <w:rPr>
                <w:rFonts w:ascii="Cambria" w:eastAsia="Calibri" w:hAnsi="Cambria"/>
                <w:b/>
                <w:color w:val="FFFFFF"/>
                <w:lang w:eastAsia="lt-LT"/>
              </w:rPr>
              <w:t>Prof. Dr. Donal McNally (panel chairperson), academic;</w:t>
            </w:r>
          </w:p>
          <w:p w14:paraId="7387CBB0" w14:textId="77777777" w:rsidR="0093147A" w:rsidRPr="0093147A" w:rsidRDefault="0093147A" w:rsidP="0093147A">
            <w:pPr>
              <w:numPr>
                <w:ilvl w:val="0"/>
                <w:numId w:val="5"/>
              </w:numPr>
              <w:tabs>
                <w:tab w:val="left" w:pos="0"/>
              </w:tabs>
              <w:spacing w:line="360" w:lineRule="auto"/>
              <w:rPr>
                <w:rFonts w:ascii="Cambria" w:eastAsia="Calibri" w:hAnsi="Cambria"/>
                <w:b/>
                <w:color w:val="FFFFFF"/>
                <w:lang w:eastAsia="lt-LT"/>
              </w:rPr>
            </w:pPr>
            <w:r w:rsidRPr="0093147A">
              <w:rPr>
                <w:rFonts w:ascii="Cambria" w:eastAsia="Calibri" w:hAnsi="Cambria"/>
                <w:b/>
                <w:color w:val="FFFFFF"/>
                <w:lang w:eastAsia="lt-LT"/>
              </w:rPr>
              <w:t>Prof. Dr. Ivo Fridolin , academic;</w:t>
            </w:r>
          </w:p>
          <w:p w14:paraId="3B9E151A" w14:textId="77777777" w:rsidR="0093147A" w:rsidRPr="0093147A" w:rsidRDefault="0093147A" w:rsidP="0093147A">
            <w:pPr>
              <w:numPr>
                <w:ilvl w:val="0"/>
                <w:numId w:val="5"/>
              </w:numPr>
              <w:tabs>
                <w:tab w:val="left" w:pos="0"/>
              </w:tabs>
              <w:spacing w:line="360" w:lineRule="auto"/>
              <w:rPr>
                <w:rFonts w:ascii="Cambria" w:eastAsia="Calibri" w:hAnsi="Cambria"/>
                <w:b/>
                <w:color w:val="FFFFFF"/>
                <w:lang w:eastAsia="lt-LT"/>
              </w:rPr>
            </w:pPr>
            <w:r w:rsidRPr="0093147A">
              <w:rPr>
                <w:rFonts w:ascii="Cambria" w:eastAsia="Calibri" w:hAnsi="Cambria"/>
                <w:b/>
                <w:color w:val="FFFFFF"/>
                <w:lang w:eastAsia="lt-LT"/>
              </w:rPr>
              <w:t>Dr.  Frida Sandberg, academic;</w:t>
            </w:r>
          </w:p>
          <w:p w14:paraId="3A9C4B28" w14:textId="77777777" w:rsidR="0093147A" w:rsidRPr="0093147A" w:rsidRDefault="0093147A" w:rsidP="0093147A">
            <w:pPr>
              <w:numPr>
                <w:ilvl w:val="0"/>
                <w:numId w:val="5"/>
              </w:numPr>
              <w:tabs>
                <w:tab w:val="left" w:pos="0"/>
              </w:tabs>
              <w:spacing w:line="360" w:lineRule="auto"/>
              <w:rPr>
                <w:rFonts w:ascii="Cambria" w:eastAsia="Calibri" w:hAnsi="Cambria"/>
                <w:b/>
                <w:color w:val="FFFFFF"/>
                <w:lang w:eastAsia="lt-LT"/>
              </w:rPr>
            </w:pPr>
            <w:r w:rsidRPr="0093147A">
              <w:rPr>
                <w:rFonts w:ascii="Cambria" w:eastAsia="Calibri" w:hAnsi="Cambria"/>
                <w:b/>
                <w:color w:val="FFFFFF"/>
                <w:lang w:eastAsia="lt-LT"/>
              </w:rPr>
              <w:t xml:space="preserve">Dr. Justina Rukšnaitė, representative of social partners; </w:t>
            </w:r>
          </w:p>
          <w:p w14:paraId="18FC06AA" w14:textId="77777777" w:rsidR="0093147A" w:rsidRPr="0093147A" w:rsidRDefault="0093147A" w:rsidP="0093147A">
            <w:pPr>
              <w:numPr>
                <w:ilvl w:val="0"/>
                <w:numId w:val="5"/>
              </w:numPr>
              <w:tabs>
                <w:tab w:val="left" w:pos="0"/>
              </w:tabs>
              <w:spacing w:line="360" w:lineRule="auto"/>
              <w:rPr>
                <w:rFonts w:ascii="Cambria" w:eastAsia="Calibri" w:hAnsi="Cambria"/>
                <w:b/>
                <w:color w:val="FFFFFF"/>
                <w:lang w:eastAsia="lt-LT"/>
              </w:rPr>
            </w:pPr>
            <w:r w:rsidRPr="0093147A">
              <w:rPr>
                <w:rFonts w:ascii="Cambria" w:eastAsia="Calibri" w:hAnsi="Cambria"/>
                <w:b/>
                <w:color w:val="FFFFFF"/>
                <w:lang w:eastAsia="lt-LT"/>
              </w:rPr>
              <w:t>Mr Dominykas Budrys, students’ representative.</w:t>
            </w:r>
          </w:p>
          <w:p w14:paraId="5B2E6851" w14:textId="77777777" w:rsidR="006501B9" w:rsidRPr="004715B5" w:rsidRDefault="006501B9" w:rsidP="007935F1">
            <w:pPr>
              <w:tabs>
                <w:tab w:val="left" w:pos="0"/>
              </w:tabs>
              <w:rPr>
                <w:rFonts w:ascii="Cambria" w:eastAsia="Calibri" w:hAnsi="Cambria"/>
                <w:b/>
                <w:color w:val="FFFFFF"/>
                <w:lang w:eastAsia="lt-LT"/>
              </w:rPr>
            </w:pPr>
          </w:p>
          <w:p w14:paraId="1E64C0EC" w14:textId="47935952" w:rsidR="006501B9" w:rsidRPr="004715B5" w:rsidRDefault="006501B9" w:rsidP="0093147A">
            <w:pPr>
              <w:tabs>
                <w:tab w:val="left" w:pos="0"/>
              </w:tabs>
              <w:rPr>
                <w:rFonts w:ascii="Cambria" w:eastAsia="Calibri" w:hAnsi="Cambria"/>
                <w:b/>
                <w:i/>
                <w:color w:val="571C1F"/>
                <w:lang w:eastAsia="lt-LT"/>
              </w:rPr>
            </w:pPr>
            <w:r w:rsidRPr="004715B5">
              <w:rPr>
                <w:rFonts w:ascii="Cambria" w:eastAsia="Calibri" w:hAnsi="Cambria"/>
                <w:b/>
                <w:color w:val="FFFFFF"/>
                <w:lang w:eastAsia="lt-LT"/>
              </w:rPr>
              <w:t xml:space="preserve">Evaluation coordinator - </w:t>
            </w:r>
            <w:r w:rsidR="0093147A" w:rsidRPr="0093147A">
              <w:rPr>
                <w:rFonts w:ascii="Cambria" w:eastAsia="Calibri" w:hAnsi="Cambria"/>
                <w:b/>
                <w:i/>
                <w:color w:val="FFFFFF"/>
                <w:lang w:eastAsia="lt-LT"/>
              </w:rPr>
              <w:t>Ms Evelina Keturakytė</w:t>
            </w:r>
          </w:p>
        </w:tc>
      </w:tr>
    </w:tbl>
    <w:p w14:paraId="1E5EA59C" w14:textId="77777777" w:rsidR="006501B9" w:rsidRDefault="006501B9" w:rsidP="006501B9">
      <w:pPr>
        <w:pStyle w:val="NoSpacing"/>
        <w:rPr>
          <w:lang w:val="en-GB" w:eastAsia="lt-LT"/>
        </w:rPr>
      </w:pPr>
    </w:p>
    <w:p w14:paraId="30040A2B" w14:textId="77777777" w:rsidR="006501B9" w:rsidRDefault="006501B9" w:rsidP="006501B9">
      <w:pPr>
        <w:pStyle w:val="NoSpacing"/>
        <w:rPr>
          <w:rFonts w:ascii="Cambria" w:hAnsi="Cambria"/>
          <w:color w:val="136C73"/>
          <w:szCs w:val="24"/>
          <w:lang w:val="en-GB" w:eastAsia="lt-LT"/>
        </w:rPr>
      </w:pPr>
    </w:p>
    <w:p w14:paraId="5E643ED6" w14:textId="77777777" w:rsidR="006501B9" w:rsidRDefault="006501B9" w:rsidP="006501B9">
      <w:pPr>
        <w:pStyle w:val="NoSpacing"/>
        <w:rPr>
          <w:rFonts w:ascii="Cambria" w:hAnsi="Cambria"/>
          <w:color w:val="136C73"/>
          <w:szCs w:val="24"/>
          <w:lang w:val="en-GB" w:eastAsia="lt-LT"/>
        </w:rPr>
      </w:pPr>
    </w:p>
    <w:p w14:paraId="05A8F49D" w14:textId="77777777" w:rsidR="006501B9" w:rsidRDefault="006501B9" w:rsidP="006501B9">
      <w:pPr>
        <w:pStyle w:val="NoSpacing"/>
        <w:rPr>
          <w:rFonts w:ascii="Cambria" w:hAnsi="Cambria"/>
          <w:color w:val="136C73"/>
          <w:szCs w:val="24"/>
          <w:lang w:val="en-GB" w:eastAsia="lt-LT"/>
        </w:rPr>
      </w:pPr>
    </w:p>
    <w:p w14:paraId="2606EBD0" w14:textId="77777777" w:rsidR="006501B9" w:rsidRPr="00020165" w:rsidRDefault="006501B9" w:rsidP="006501B9">
      <w:pPr>
        <w:pStyle w:val="NoSpacing"/>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020165" w14:paraId="75872A84" w14:textId="77777777" w:rsidTr="007935F1">
        <w:tc>
          <w:tcPr>
            <w:tcW w:w="460" w:type="dxa"/>
            <w:shd w:val="clear" w:color="auto" w:fill="auto"/>
            <w:vAlign w:val="center"/>
          </w:tcPr>
          <w:p w14:paraId="72915C62" w14:textId="77777777" w:rsidR="006501B9" w:rsidRPr="00020165" w:rsidRDefault="006501B9" w:rsidP="007935F1">
            <w:pPr>
              <w:pStyle w:val="NoSpacing"/>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4D9202ED" w14:textId="77777777" w:rsidR="006501B9" w:rsidRPr="00020165" w:rsidRDefault="006501B9" w:rsidP="007935F1">
            <w:pPr>
              <w:pStyle w:val="NoSpacing"/>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5D7703C9" w14:textId="77777777" w:rsidR="006501B9" w:rsidRPr="00020165" w:rsidRDefault="006501B9" w:rsidP="006501B9">
      <w:pPr>
        <w:rPr>
          <w:rFonts w:ascii="Cambria" w:eastAsia="Calibri" w:hAnsi="Cambria"/>
          <w:color w:val="136C73"/>
          <w:sz w:val="28"/>
          <w:szCs w:val="28"/>
          <w:lang w:eastAsia="lt-LT"/>
        </w:rPr>
      </w:pPr>
    </w:p>
    <w:p w14:paraId="6424D2C4" w14:textId="77777777" w:rsidR="000F20ED" w:rsidRDefault="000F20ED" w:rsidP="006501B9">
      <w:pPr>
        <w:pStyle w:val="Footer"/>
        <w:jc w:val="center"/>
        <w:rPr>
          <w:rFonts w:ascii="Cambria" w:eastAsia="Calibri" w:hAnsi="Cambria" w:cs="Times New Roman"/>
          <w:color w:val="136C73"/>
          <w:sz w:val="24"/>
          <w:szCs w:val="24"/>
          <w:lang w:val="en-GB" w:eastAsia="lt-LT"/>
        </w:rPr>
      </w:pPr>
    </w:p>
    <w:p w14:paraId="73B68909" w14:textId="77777777" w:rsidR="000F20ED" w:rsidRDefault="000F20ED" w:rsidP="006501B9">
      <w:pPr>
        <w:pStyle w:val="Footer"/>
        <w:jc w:val="center"/>
        <w:rPr>
          <w:rFonts w:ascii="Cambria" w:eastAsia="Calibri" w:hAnsi="Cambria" w:cs="Times New Roman"/>
          <w:color w:val="136C73"/>
          <w:sz w:val="24"/>
          <w:szCs w:val="24"/>
          <w:lang w:val="en-GB" w:eastAsia="lt-LT"/>
        </w:rPr>
      </w:pPr>
    </w:p>
    <w:p w14:paraId="3CB40453" w14:textId="77777777" w:rsidR="000F20ED" w:rsidRDefault="000F20ED" w:rsidP="006501B9">
      <w:pPr>
        <w:pStyle w:val="Footer"/>
        <w:jc w:val="center"/>
        <w:rPr>
          <w:rFonts w:ascii="Cambria" w:eastAsia="Calibri" w:hAnsi="Cambria" w:cs="Times New Roman"/>
          <w:color w:val="136C73"/>
          <w:sz w:val="24"/>
          <w:szCs w:val="24"/>
          <w:lang w:val="en-GB" w:eastAsia="lt-LT"/>
        </w:rPr>
      </w:pPr>
    </w:p>
    <w:p w14:paraId="6116A6E9" w14:textId="77777777" w:rsidR="000F20ED" w:rsidRDefault="000F20ED" w:rsidP="006501B9">
      <w:pPr>
        <w:pStyle w:val="Footer"/>
        <w:jc w:val="center"/>
        <w:rPr>
          <w:rFonts w:ascii="Cambria" w:eastAsia="Calibri" w:hAnsi="Cambria" w:cs="Times New Roman"/>
          <w:color w:val="136C73"/>
          <w:sz w:val="24"/>
          <w:szCs w:val="24"/>
          <w:lang w:val="en-GB" w:eastAsia="lt-LT"/>
        </w:rPr>
      </w:pPr>
    </w:p>
    <w:p w14:paraId="66399EC9" w14:textId="0F454CFF" w:rsidR="006501B9" w:rsidRPr="006D1CFD" w:rsidRDefault="006501B9" w:rsidP="006501B9">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39D91D59" w14:textId="3C3F825D" w:rsidR="006501B9" w:rsidRPr="006D1CFD" w:rsidRDefault="006501B9" w:rsidP="006501B9">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w:t>
      </w:r>
      <w:r w:rsidR="000550AD">
        <w:rPr>
          <w:rFonts w:ascii="Cambria" w:eastAsia="Calibri" w:hAnsi="Cambria" w:cs="Times New Roman"/>
          <w:color w:val="136C73"/>
          <w:sz w:val="24"/>
          <w:szCs w:val="24"/>
          <w:lang w:val="en-GB" w:eastAsia="lt-LT"/>
        </w:rPr>
        <w:t>2</w:t>
      </w:r>
    </w:p>
    <w:p w14:paraId="7AD67328" w14:textId="77777777" w:rsidR="0093147A" w:rsidRDefault="0093147A" w:rsidP="0060015D">
      <w:pPr>
        <w:jc w:val="center"/>
        <w:rPr>
          <w:rFonts w:asciiTheme="majorHAnsi" w:hAnsiTheme="majorHAnsi"/>
          <w:b/>
          <w:color w:val="136C73"/>
          <w:sz w:val="28"/>
          <w:lang w:eastAsia="en-GB"/>
        </w:rPr>
      </w:pPr>
    </w:p>
    <w:p w14:paraId="7E2823B4" w14:textId="77777777" w:rsidR="001639F1" w:rsidRDefault="001639F1" w:rsidP="0060015D">
      <w:pPr>
        <w:jc w:val="center"/>
        <w:rPr>
          <w:rFonts w:asciiTheme="majorHAnsi" w:hAnsiTheme="majorHAnsi"/>
          <w:b/>
          <w:color w:val="136C73"/>
          <w:sz w:val="28"/>
          <w:lang w:eastAsia="en-GB"/>
        </w:rPr>
      </w:pPr>
    </w:p>
    <w:p w14:paraId="64EEA760" w14:textId="77777777" w:rsidR="001639F1" w:rsidRDefault="001639F1" w:rsidP="0060015D">
      <w:pPr>
        <w:jc w:val="center"/>
        <w:rPr>
          <w:rFonts w:asciiTheme="majorHAnsi" w:hAnsiTheme="majorHAnsi"/>
          <w:b/>
          <w:color w:val="136C73"/>
          <w:sz w:val="28"/>
          <w:lang w:eastAsia="en-GB"/>
        </w:rPr>
      </w:pPr>
    </w:p>
    <w:p w14:paraId="3297F8CC" w14:textId="77777777" w:rsidR="001639F1" w:rsidRDefault="001639F1" w:rsidP="0060015D">
      <w:pPr>
        <w:jc w:val="center"/>
        <w:rPr>
          <w:rFonts w:asciiTheme="majorHAnsi" w:hAnsiTheme="majorHAnsi"/>
          <w:b/>
          <w:color w:val="136C73"/>
          <w:sz w:val="28"/>
          <w:lang w:eastAsia="en-GB"/>
        </w:rPr>
      </w:pPr>
    </w:p>
    <w:p w14:paraId="0B308BAB" w14:textId="77777777" w:rsidR="001639F1" w:rsidRDefault="001639F1" w:rsidP="0060015D">
      <w:pPr>
        <w:jc w:val="center"/>
        <w:rPr>
          <w:rFonts w:asciiTheme="majorHAnsi" w:hAnsiTheme="majorHAnsi"/>
          <w:b/>
          <w:color w:val="136C73"/>
          <w:sz w:val="28"/>
          <w:lang w:eastAsia="en-GB"/>
        </w:rPr>
      </w:pPr>
    </w:p>
    <w:p w14:paraId="7B24116E" w14:textId="5222AC10" w:rsidR="0060015D" w:rsidRPr="00CA6F8D" w:rsidRDefault="0060015D" w:rsidP="0060015D">
      <w:pPr>
        <w:jc w:val="center"/>
        <w:rPr>
          <w:rFonts w:asciiTheme="majorHAnsi" w:hAnsiTheme="majorHAnsi"/>
          <w:b/>
          <w:color w:val="136C73"/>
          <w:sz w:val="28"/>
          <w:lang w:eastAsia="en-GB"/>
        </w:rPr>
      </w:pPr>
      <w:r w:rsidRPr="00CA6F8D">
        <w:rPr>
          <w:rFonts w:asciiTheme="majorHAnsi" w:hAnsiTheme="majorHAnsi"/>
          <w:b/>
          <w:color w:val="136C73"/>
          <w:sz w:val="28"/>
          <w:lang w:eastAsia="en-GB"/>
        </w:rPr>
        <w:t>Study Field Data</w:t>
      </w:r>
    </w:p>
    <w:tbl>
      <w:tblPr>
        <w:tblStyle w:val="TableGrid"/>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93147A" w:rsidRPr="00467FA3" w14:paraId="03B83148" w14:textId="77777777" w:rsidTr="007935F1">
        <w:trPr>
          <w:trHeight w:val="510"/>
        </w:trPr>
        <w:tc>
          <w:tcPr>
            <w:tcW w:w="1977" w:type="pct"/>
            <w:shd w:val="clear" w:color="136C73" w:fill="EEECE1" w:themeFill="background2"/>
            <w:vAlign w:val="center"/>
          </w:tcPr>
          <w:p w14:paraId="31BDB095" w14:textId="77777777" w:rsidR="0093147A" w:rsidRPr="00467FA3" w:rsidRDefault="0093147A" w:rsidP="007935F1">
            <w:pPr>
              <w:rPr>
                <w:rFonts w:ascii="Cambria" w:hAnsi="Cambria"/>
                <w:color w:val="136C73"/>
                <w:lang w:eastAsia="en-GB"/>
              </w:rPr>
            </w:pPr>
            <w:r w:rsidRPr="00467FA3">
              <w:rPr>
                <w:rFonts w:ascii="Cambria" w:eastAsia="MS Mincho" w:hAnsi="Cambria"/>
                <w:color w:val="136C73"/>
                <w:lang w:eastAsia="en-GB"/>
              </w:rPr>
              <w:t>Title of the study programme</w:t>
            </w:r>
          </w:p>
        </w:tc>
        <w:tc>
          <w:tcPr>
            <w:tcW w:w="1512" w:type="pct"/>
            <w:shd w:val="clear" w:color="136C73" w:fill="FFFFFF" w:themeFill="background1"/>
          </w:tcPr>
          <w:p w14:paraId="552C1546" w14:textId="68CC64C0" w:rsidR="0093147A" w:rsidRPr="00467FA3" w:rsidRDefault="0093147A" w:rsidP="007935F1">
            <w:pPr>
              <w:rPr>
                <w:rFonts w:ascii="Cambria" w:hAnsi="Cambria"/>
                <w:b/>
                <w:i/>
                <w:lang w:eastAsia="en-GB"/>
              </w:rPr>
            </w:pPr>
            <w:r w:rsidRPr="00467FA3">
              <w:rPr>
                <w:rFonts w:ascii="Cambria" w:hAnsi="Cambria"/>
                <w:b/>
                <w:i/>
              </w:rPr>
              <w:t>Biomechanics</w:t>
            </w:r>
          </w:p>
        </w:tc>
        <w:tc>
          <w:tcPr>
            <w:tcW w:w="1511" w:type="pct"/>
            <w:shd w:val="clear" w:color="136C73" w:fill="FFFFFF" w:themeFill="background1"/>
          </w:tcPr>
          <w:p w14:paraId="173913C5" w14:textId="46CCE228" w:rsidR="0093147A" w:rsidRPr="00467FA3" w:rsidRDefault="0093147A" w:rsidP="007935F1">
            <w:pPr>
              <w:rPr>
                <w:rFonts w:ascii="Cambria" w:hAnsi="Cambria"/>
                <w:b/>
                <w:i/>
                <w:lang w:eastAsia="en-GB"/>
              </w:rPr>
            </w:pPr>
            <w:r w:rsidRPr="00467FA3">
              <w:rPr>
                <w:rFonts w:ascii="Cambria" w:hAnsi="Cambria"/>
                <w:b/>
                <w:i/>
              </w:rPr>
              <w:t>Biomedical Engineering</w:t>
            </w:r>
          </w:p>
        </w:tc>
      </w:tr>
      <w:tr w:rsidR="0093147A" w:rsidRPr="00467FA3" w14:paraId="41EC638C" w14:textId="77777777" w:rsidTr="007935F1">
        <w:trPr>
          <w:trHeight w:val="510"/>
        </w:trPr>
        <w:tc>
          <w:tcPr>
            <w:tcW w:w="1977" w:type="pct"/>
            <w:shd w:val="clear" w:color="auto" w:fill="EEECE1" w:themeFill="background2"/>
            <w:vAlign w:val="center"/>
          </w:tcPr>
          <w:p w14:paraId="4C4739EC"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State code</w:t>
            </w:r>
          </w:p>
        </w:tc>
        <w:tc>
          <w:tcPr>
            <w:tcW w:w="1512" w:type="pct"/>
          </w:tcPr>
          <w:p w14:paraId="6385F75C" w14:textId="04420799" w:rsidR="0093147A" w:rsidRPr="00467FA3" w:rsidRDefault="0093147A" w:rsidP="007935F1">
            <w:pPr>
              <w:rPr>
                <w:rStyle w:val="fontstyle01"/>
                <w:rFonts w:ascii="Cambria" w:hAnsi="Cambria"/>
                <w:b/>
              </w:rPr>
            </w:pPr>
            <w:r w:rsidRPr="00467FA3">
              <w:rPr>
                <w:rFonts w:ascii="Cambria" w:hAnsi="Cambria"/>
              </w:rPr>
              <w:t>6121EX034</w:t>
            </w:r>
          </w:p>
        </w:tc>
        <w:tc>
          <w:tcPr>
            <w:tcW w:w="1511" w:type="pct"/>
          </w:tcPr>
          <w:p w14:paraId="256F8274" w14:textId="3D0D0328" w:rsidR="0093147A" w:rsidRPr="00467FA3" w:rsidRDefault="0093147A" w:rsidP="007935F1">
            <w:pPr>
              <w:rPr>
                <w:rFonts w:ascii="Cambria" w:hAnsi="Cambria"/>
              </w:rPr>
            </w:pPr>
            <w:r w:rsidRPr="00467FA3">
              <w:rPr>
                <w:rFonts w:ascii="Cambria" w:hAnsi="Cambria"/>
              </w:rPr>
              <w:t>6211EX032</w:t>
            </w:r>
          </w:p>
        </w:tc>
      </w:tr>
      <w:tr w:rsidR="0093147A" w:rsidRPr="00467FA3" w14:paraId="7C29A8D7" w14:textId="77777777" w:rsidTr="007935F1">
        <w:trPr>
          <w:trHeight w:val="510"/>
        </w:trPr>
        <w:tc>
          <w:tcPr>
            <w:tcW w:w="1977" w:type="pct"/>
            <w:shd w:val="clear" w:color="auto" w:fill="EEECE1" w:themeFill="background2"/>
            <w:vAlign w:val="center"/>
          </w:tcPr>
          <w:p w14:paraId="24B3CFAC"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Type of studies</w:t>
            </w:r>
          </w:p>
        </w:tc>
        <w:tc>
          <w:tcPr>
            <w:tcW w:w="1512" w:type="pct"/>
          </w:tcPr>
          <w:p w14:paraId="2132BCD9" w14:textId="742A36FF" w:rsidR="0093147A" w:rsidRPr="00467FA3" w:rsidRDefault="0093147A" w:rsidP="007935F1">
            <w:pPr>
              <w:rPr>
                <w:rFonts w:ascii="Cambria" w:hAnsi="Cambria"/>
                <w:lang w:eastAsia="en-GB"/>
              </w:rPr>
            </w:pPr>
            <w:r w:rsidRPr="00467FA3">
              <w:rPr>
                <w:rFonts w:ascii="Cambria" w:hAnsi="Cambria"/>
              </w:rPr>
              <w:t>University studies</w:t>
            </w:r>
          </w:p>
        </w:tc>
        <w:tc>
          <w:tcPr>
            <w:tcW w:w="1511" w:type="pct"/>
          </w:tcPr>
          <w:p w14:paraId="32838FA0" w14:textId="373EDB37" w:rsidR="0093147A" w:rsidRPr="00467FA3" w:rsidRDefault="0093147A" w:rsidP="007935F1">
            <w:pPr>
              <w:rPr>
                <w:rFonts w:ascii="Cambria" w:hAnsi="Cambria"/>
                <w:lang w:eastAsia="en-GB"/>
              </w:rPr>
            </w:pPr>
            <w:r w:rsidRPr="00467FA3">
              <w:rPr>
                <w:rFonts w:ascii="Cambria" w:hAnsi="Cambria"/>
              </w:rPr>
              <w:t>University studies</w:t>
            </w:r>
          </w:p>
        </w:tc>
      </w:tr>
      <w:tr w:rsidR="0093147A" w:rsidRPr="00467FA3" w14:paraId="674AED03" w14:textId="77777777" w:rsidTr="007935F1">
        <w:trPr>
          <w:trHeight w:val="510"/>
        </w:trPr>
        <w:tc>
          <w:tcPr>
            <w:tcW w:w="1977" w:type="pct"/>
            <w:shd w:val="clear" w:color="auto" w:fill="EEECE1" w:themeFill="background2"/>
            <w:vAlign w:val="center"/>
          </w:tcPr>
          <w:p w14:paraId="653F3764"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Cycle of studies</w:t>
            </w:r>
          </w:p>
        </w:tc>
        <w:tc>
          <w:tcPr>
            <w:tcW w:w="1512" w:type="pct"/>
          </w:tcPr>
          <w:p w14:paraId="453CD7C3" w14:textId="128CBA3E" w:rsidR="0093147A" w:rsidRPr="00467FA3" w:rsidRDefault="0093147A" w:rsidP="007935F1">
            <w:pPr>
              <w:rPr>
                <w:rFonts w:ascii="Cambria" w:hAnsi="Cambria"/>
                <w:lang w:eastAsia="en-GB"/>
              </w:rPr>
            </w:pPr>
            <w:r w:rsidRPr="00467FA3">
              <w:rPr>
                <w:rFonts w:ascii="Cambria" w:hAnsi="Cambria"/>
              </w:rPr>
              <w:t>First</w:t>
            </w:r>
          </w:p>
        </w:tc>
        <w:tc>
          <w:tcPr>
            <w:tcW w:w="1511" w:type="pct"/>
          </w:tcPr>
          <w:p w14:paraId="4A2E24E9" w14:textId="016CA3FA" w:rsidR="0093147A" w:rsidRPr="00467FA3" w:rsidRDefault="0093147A" w:rsidP="007935F1">
            <w:pPr>
              <w:rPr>
                <w:rFonts w:ascii="Cambria" w:hAnsi="Cambria"/>
                <w:lang w:eastAsia="en-GB"/>
              </w:rPr>
            </w:pPr>
            <w:r w:rsidRPr="00467FA3">
              <w:rPr>
                <w:rFonts w:ascii="Cambria" w:hAnsi="Cambria"/>
              </w:rPr>
              <w:t>Second</w:t>
            </w:r>
          </w:p>
        </w:tc>
      </w:tr>
      <w:tr w:rsidR="0093147A" w:rsidRPr="00467FA3" w14:paraId="172F730A" w14:textId="77777777" w:rsidTr="007935F1">
        <w:trPr>
          <w:trHeight w:val="510"/>
        </w:trPr>
        <w:tc>
          <w:tcPr>
            <w:tcW w:w="1977" w:type="pct"/>
            <w:shd w:val="clear" w:color="auto" w:fill="EEECE1" w:themeFill="background2"/>
            <w:vAlign w:val="center"/>
          </w:tcPr>
          <w:p w14:paraId="40737B49"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Mode of study and duration (in years)</w:t>
            </w:r>
          </w:p>
        </w:tc>
        <w:tc>
          <w:tcPr>
            <w:tcW w:w="1512" w:type="pct"/>
          </w:tcPr>
          <w:p w14:paraId="294D6847" w14:textId="3BD19BB0" w:rsidR="0093147A" w:rsidRPr="00467FA3" w:rsidRDefault="0093147A" w:rsidP="007935F1">
            <w:pPr>
              <w:rPr>
                <w:rFonts w:ascii="Cambria" w:hAnsi="Cambria"/>
                <w:lang w:eastAsia="en-GB"/>
              </w:rPr>
            </w:pPr>
            <w:r w:rsidRPr="00467FA3">
              <w:rPr>
                <w:rFonts w:ascii="Cambria" w:hAnsi="Cambria"/>
              </w:rPr>
              <w:t>Full-time (4 years)</w:t>
            </w:r>
          </w:p>
        </w:tc>
        <w:tc>
          <w:tcPr>
            <w:tcW w:w="1511" w:type="pct"/>
          </w:tcPr>
          <w:p w14:paraId="19A62D95" w14:textId="3FDB5CE0" w:rsidR="0093147A" w:rsidRPr="00467FA3" w:rsidRDefault="0093147A" w:rsidP="007935F1">
            <w:pPr>
              <w:rPr>
                <w:rFonts w:ascii="Cambria" w:hAnsi="Cambria"/>
                <w:lang w:eastAsia="en-GB"/>
              </w:rPr>
            </w:pPr>
            <w:r w:rsidRPr="00467FA3">
              <w:rPr>
                <w:rFonts w:ascii="Cambria" w:hAnsi="Cambria"/>
              </w:rPr>
              <w:t>Full-time (2 years)</w:t>
            </w:r>
          </w:p>
        </w:tc>
      </w:tr>
      <w:tr w:rsidR="0093147A" w:rsidRPr="00467FA3" w14:paraId="654F7F03" w14:textId="77777777" w:rsidTr="007935F1">
        <w:trPr>
          <w:trHeight w:val="510"/>
        </w:trPr>
        <w:tc>
          <w:tcPr>
            <w:tcW w:w="1977" w:type="pct"/>
            <w:shd w:val="clear" w:color="auto" w:fill="EEECE1" w:themeFill="background2"/>
            <w:vAlign w:val="center"/>
          </w:tcPr>
          <w:p w14:paraId="125D0C2B"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Credit volume</w:t>
            </w:r>
          </w:p>
        </w:tc>
        <w:tc>
          <w:tcPr>
            <w:tcW w:w="1512" w:type="pct"/>
          </w:tcPr>
          <w:p w14:paraId="16A896AE" w14:textId="734E8D7F" w:rsidR="0093147A" w:rsidRPr="00467FA3" w:rsidRDefault="0093147A" w:rsidP="007935F1">
            <w:pPr>
              <w:rPr>
                <w:rFonts w:ascii="Cambria" w:hAnsi="Cambria"/>
                <w:lang w:eastAsia="en-GB"/>
              </w:rPr>
            </w:pPr>
            <w:r w:rsidRPr="00467FA3">
              <w:rPr>
                <w:rFonts w:ascii="Cambria" w:hAnsi="Cambria"/>
              </w:rPr>
              <w:t>240</w:t>
            </w:r>
          </w:p>
        </w:tc>
        <w:tc>
          <w:tcPr>
            <w:tcW w:w="1511" w:type="pct"/>
          </w:tcPr>
          <w:p w14:paraId="5CA94882" w14:textId="5D86D9E9" w:rsidR="0093147A" w:rsidRPr="00467FA3" w:rsidRDefault="0093147A" w:rsidP="007935F1">
            <w:pPr>
              <w:rPr>
                <w:rFonts w:ascii="Cambria" w:hAnsi="Cambria"/>
                <w:lang w:eastAsia="en-GB"/>
              </w:rPr>
            </w:pPr>
            <w:r w:rsidRPr="00467FA3">
              <w:rPr>
                <w:rFonts w:ascii="Cambria" w:hAnsi="Cambria"/>
              </w:rPr>
              <w:t>120</w:t>
            </w:r>
          </w:p>
        </w:tc>
      </w:tr>
      <w:tr w:rsidR="0093147A" w:rsidRPr="00467FA3" w14:paraId="4081202C" w14:textId="77777777" w:rsidTr="007935F1">
        <w:trPr>
          <w:trHeight w:val="510"/>
        </w:trPr>
        <w:tc>
          <w:tcPr>
            <w:tcW w:w="1977" w:type="pct"/>
            <w:shd w:val="clear" w:color="auto" w:fill="EEECE1" w:themeFill="background2"/>
            <w:vAlign w:val="center"/>
          </w:tcPr>
          <w:p w14:paraId="35C8837C"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Qualification degree and (or) professional qualification</w:t>
            </w:r>
          </w:p>
        </w:tc>
        <w:tc>
          <w:tcPr>
            <w:tcW w:w="1512" w:type="pct"/>
          </w:tcPr>
          <w:p w14:paraId="68690D60" w14:textId="279723D2" w:rsidR="0093147A" w:rsidRPr="00467FA3" w:rsidRDefault="0093147A" w:rsidP="007935F1">
            <w:pPr>
              <w:rPr>
                <w:rFonts w:ascii="Cambria" w:hAnsi="Cambria"/>
                <w:lang w:eastAsia="en-GB"/>
              </w:rPr>
            </w:pPr>
            <w:r w:rsidRPr="00467FA3">
              <w:rPr>
                <w:rFonts w:ascii="Cambria" w:hAnsi="Cambria"/>
              </w:rPr>
              <w:t>Bachelor of Engineering Sciences</w:t>
            </w:r>
          </w:p>
        </w:tc>
        <w:tc>
          <w:tcPr>
            <w:tcW w:w="1511" w:type="pct"/>
          </w:tcPr>
          <w:p w14:paraId="21331A35" w14:textId="4FB4013C" w:rsidR="0093147A" w:rsidRPr="00467FA3" w:rsidRDefault="0093147A" w:rsidP="007935F1">
            <w:pPr>
              <w:rPr>
                <w:rFonts w:ascii="Cambria" w:hAnsi="Cambria"/>
                <w:lang w:eastAsia="en-GB"/>
              </w:rPr>
            </w:pPr>
            <w:r w:rsidRPr="00467FA3">
              <w:rPr>
                <w:rFonts w:ascii="Cambria" w:hAnsi="Cambria"/>
              </w:rPr>
              <w:t>Master of  Engineering Sciences</w:t>
            </w:r>
          </w:p>
        </w:tc>
      </w:tr>
      <w:tr w:rsidR="0093147A" w:rsidRPr="00467FA3" w14:paraId="39E71ADC" w14:textId="77777777" w:rsidTr="007935F1">
        <w:trPr>
          <w:trHeight w:val="510"/>
        </w:trPr>
        <w:tc>
          <w:tcPr>
            <w:tcW w:w="1977" w:type="pct"/>
            <w:shd w:val="clear" w:color="auto" w:fill="EEECE1" w:themeFill="background2"/>
            <w:vAlign w:val="center"/>
          </w:tcPr>
          <w:p w14:paraId="34BC0550"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Language of instruction</w:t>
            </w:r>
          </w:p>
        </w:tc>
        <w:tc>
          <w:tcPr>
            <w:tcW w:w="1512" w:type="pct"/>
          </w:tcPr>
          <w:p w14:paraId="2C2492EC" w14:textId="6C45EB4E" w:rsidR="0093147A" w:rsidRPr="00467FA3" w:rsidRDefault="0093147A" w:rsidP="007935F1">
            <w:pPr>
              <w:rPr>
                <w:rFonts w:ascii="Cambria" w:hAnsi="Cambria"/>
                <w:lang w:eastAsia="en-GB"/>
              </w:rPr>
            </w:pPr>
            <w:r w:rsidRPr="00467FA3">
              <w:rPr>
                <w:rFonts w:ascii="Cambria" w:hAnsi="Cambria"/>
              </w:rPr>
              <w:t>Lithuanian (from 2022 also in English)</w:t>
            </w:r>
          </w:p>
        </w:tc>
        <w:tc>
          <w:tcPr>
            <w:tcW w:w="1511" w:type="pct"/>
          </w:tcPr>
          <w:p w14:paraId="12253ECE" w14:textId="37267D44" w:rsidR="0093147A" w:rsidRPr="00467FA3" w:rsidRDefault="0093147A" w:rsidP="007935F1">
            <w:pPr>
              <w:rPr>
                <w:rFonts w:ascii="Cambria" w:hAnsi="Cambria"/>
                <w:lang w:eastAsia="en-GB"/>
              </w:rPr>
            </w:pPr>
            <w:r w:rsidRPr="00467FA3">
              <w:rPr>
                <w:rFonts w:ascii="Cambria" w:hAnsi="Cambria"/>
              </w:rPr>
              <w:t>Lithuanian and English</w:t>
            </w:r>
          </w:p>
        </w:tc>
      </w:tr>
      <w:tr w:rsidR="0093147A" w:rsidRPr="00467FA3" w14:paraId="7426D26D" w14:textId="77777777" w:rsidTr="007935F1">
        <w:trPr>
          <w:trHeight w:val="510"/>
        </w:trPr>
        <w:tc>
          <w:tcPr>
            <w:tcW w:w="1977" w:type="pct"/>
            <w:shd w:val="clear" w:color="auto" w:fill="EEECE1" w:themeFill="background2"/>
            <w:vAlign w:val="center"/>
          </w:tcPr>
          <w:p w14:paraId="71FE4256"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Minimum education required</w:t>
            </w:r>
          </w:p>
        </w:tc>
        <w:tc>
          <w:tcPr>
            <w:tcW w:w="1512" w:type="pct"/>
          </w:tcPr>
          <w:p w14:paraId="4243C3F8" w14:textId="5160FC22" w:rsidR="0093147A" w:rsidRPr="00467FA3" w:rsidRDefault="0093147A" w:rsidP="007935F1">
            <w:pPr>
              <w:rPr>
                <w:rFonts w:ascii="Cambria" w:hAnsi="Cambria"/>
                <w:lang w:eastAsia="en-GB"/>
              </w:rPr>
            </w:pPr>
            <w:r w:rsidRPr="00467FA3">
              <w:rPr>
                <w:rFonts w:ascii="Cambria" w:hAnsi="Cambria"/>
              </w:rPr>
              <w:t>Secondary education</w:t>
            </w:r>
          </w:p>
        </w:tc>
        <w:tc>
          <w:tcPr>
            <w:tcW w:w="1511" w:type="pct"/>
          </w:tcPr>
          <w:p w14:paraId="49572BC2" w14:textId="77777777" w:rsidR="0093147A" w:rsidRPr="00467FA3" w:rsidRDefault="0093147A" w:rsidP="0093147A">
            <w:pPr>
              <w:rPr>
                <w:rFonts w:ascii="Cambria" w:hAnsi="Cambria"/>
              </w:rPr>
            </w:pPr>
            <w:r w:rsidRPr="00467FA3">
              <w:rPr>
                <w:rFonts w:ascii="Cambria" w:hAnsi="Cambria"/>
              </w:rPr>
              <w:t xml:space="preserve">Acquired university higher education (bachelor degree or equivalent) </w:t>
            </w:r>
          </w:p>
          <w:p w14:paraId="30368DDD" w14:textId="77777777" w:rsidR="0093147A" w:rsidRPr="00467FA3" w:rsidRDefault="0093147A" w:rsidP="0093147A">
            <w:pPr>
              <w:rPr>
                <w:rFonts w:ascii="Cambria" w:hAnsi="Cambria"/>
              </w:rPr>
            </w:pPr>
            <w:r w:rsidRPr="00467FA3">
              <w:rPr>
                <w:rFonts w:ascii="Cambria" w:hAnsi="Cambria"/>
              </w:rPr>
              <w:t>Mandatory study modules of bachelor programme and minimum volume:</w:t>
            </w:r>
          </w:p>
          <w:p w14:paraId="37ED2FB4" w14:textId="77777777" w:rsidR="0093147A" w:rsidRPr="00467FA3" w:rsidRDefault="0093147A" w:rsidP="0093147A">
            <w:pPr>
              <w:rPr>
                <w:rFonts w:ascii="Cambria" w:hAnsi="Cambria"/>
              </w:rPr>
            </w:pPr>
            <w:r w:rsidRPr="00467FA3">
              <w:rPr>
                <w:rFonts w:ascii="Cambria" w:hAnsi="Cambria"/>
              </w:rPr>
              <w:t>Study fundamentals: Mathematics 15 cr., Physics 6 cr., Theory mechanics, Mechanics of materials 6 cr., General and applied engineering graphics 3 cr., information technologies 3 cr.</w:t>
            </w:r>
          </w:p>
          <w:p w14:paraId="214BCCC2" w14:textId="77777777" w:rsidR="0093147A" w:rsidRPr="00467FA3" w:rsidRDefault="0093147A" w:rsidP="0093147A">
            <w:pPr>
              <w:rPr>
                <w:rFonts w:ascii="Cambria" w:hAnsi="Cambria"/>
              </w:rPr>
            </w:pPr>
            <w:r w:rsidRPr="00467FA3">
              <w:rPr>
                <w:rFonts w:ascii="Cambria" w:hAnsi="Cambria"/>
              </w:rPr>
              <w:t>Special modules of programme: Automatic control, Biomechanics,</w:t>
            </w:r>
          </w:p>
          <w:p w14:paraId="3CC1DC22" w14:textId="73FAE313" w:rsidR="0093147A" w:rsidRPr="00467FA3" w:rsidRDefault="0093147A" w:rsidP="0093147A">
            <w:pPr>
              <w:rPr>
                <w:rFonts w:ascii="Cambria" w:hAnsi="Cambria"/>
                <w:lang w:eastAsia="en-GB"/>
              </w:rPr>
            </w:pPr>
            <w:r w:rsidRPr="00467FA3">
              <w:rPr>
                <w:rFonts w:ascii="Cambria" w:hAnsi="Cambria"/>
              </w:rPr>
              <w:t>Human anatomy and physiology 10 cr.</w:t>
            </w:r>
          </w:p>
        </w:tc>
      </w:tr>
      <w:tr w:rsidR="0093147A" w:rsidRPr="00467FA3" w14:paraId="6BB7C0A8" w14:textId="77777777" w:rsidTr="007935F1">
        <w:trPr>
          <w:trHeight w:val="510"/>
        </w:trPr>
        <w:tc>
          <w:tcPr>
            <w:tcW w:w="1977" w:type="pct"/>
            <w:shd w:val="clear" w:color="auto" w:fill="EEECE1" w:themeFill="background2"/>
            <w:vAlign w:val="center"/>
          </w:tcPr>
          <w:p w14:paraId="106383C8" w14:textId="77777777" w:rsidR="0093147A" w:rsidRPr="00467FA3" w:rsidRDefault="0093147A" w:rsidP="007935F1">
            <w:pPr>
              <w:rPr>
                <w:rFonts w:ascii="Cambria" w:eastAsia="MS Mincho" w:hAnsi="Cambria"/>
                <w:color w:val="136C73"/>
                <w:lang w:eastAsia="en-GB"/>
              </w:rPr>
            </w:pPr>
            <w:r w:rsidRPr="00467FA3">
              <w:rPr>
                <w:rFonts w:ascii="Cambria" w:eastAsia="MS Mincho" w:hAnsi="Cambria"/>
                <w:color w:val="136C73"/>
                <w:lang w:eastAsia="en-GB"/>
              </w:rPr>
              <w:t>Registration date of the study programme</w:t>
            </w:r>
          </w:p>
        </w:tc>
        <w:tc>
          <w:tcPr>
            <w:tcW w:w="1512" w:type="pct"/>
          </w:tcPr>
          <w:p w14:paraId="7AD38B8E" w14:textId="77777777" w:rsidR="0093147A" w:rsidRPr="00467FA3" w:rsidRDefault="0093147A" w:rsidP="0093147A">
            <w:pPr>
              <w:rPr>
                <w:rFonts w:ascii="Cambria" w:hAnsi="Cambria"/>
              </w:rPr>
            </w:pPr>
            <w:r w:rsidRPr="00467FA3">
              <w:rPr>
                <w:rFonts w:ascii="Cambria" w:hAnsi="Cambria"/>
              </w:rPr>
              <w:t>19 May 1997</w:t>
            </w:r>
          </w:p>
          <w:p w14:paraId="54C33D96" w14:textId="6CFAFED4" w:rsidR="0093147A" w:rsidRPr="00467FA3" w:rsidRDefault="0093147A" w:rsidP="0093147A">
            <w:pPr>
              <w:rPr>
                <w:rStyle w:val="fontstyle01"/>
                <w:rFonts w:ascii="Cambria" w:hAnsi="Cambria"/>
                <w:b/>
              </w:rPr>
            </w:pPr>
          </w:p>
        </w:tc>
        <w:tc>
          <w:tcPr>
            <w:tcW w:w="1511" w:type="pct"/>
          </w:tcPr>
          <w:p w14:paraId="6C274854" w14:textId="77777777" w:rsidR="0093147A" w:rsidRPr="00467FA3" w:rsidRDefault="0093147A" w:rsidP="0093147A">
            <w:pPr>
              <w:rPr>
                <w:rFonts w:ascii="Cambria" w:hAnsi="Cambria"/>
              </w:rPr>
            </w:pPr>
            <w:r w:rsidRPr="00467FA3">
              <w:rPr>
                <w:rFonts w:ascii="Cambria" w:hAnsi="Cambria"/>
              </w:rPr>
              <w:t>19 May 1997</w:t>
            </w:r>
          </w:p>
          <w:p w14:paraId="611E8A98" w14:textId="740EFCC1" w:rsidR="0093147A" w:rsidRPr="00467FA3" w:rsidRDefault="0093147A" w:rsidP="0093147A">
            <w:pPr>
              <w:rPr>
                <w:rFonts w:ascii="Cambria" w:hAnsi="Cambria"/>
                <w:b/>
              </w:rPr>
            </w:pPr>
          </w:p>
        </w:tc>
      </w:tr>
    </w:tbl>
    <w:p w14:paraId="0366EC43" w14:textId="77777777" w:rsidR="0060015D" w:rsidRPr="00CA6F8D" w:rsidRDefault="0060015D" w:rsidP="0060015D">
      <w:pPr>
        <w:rPr>
          <w:rFonts w:asciiTheme="majorHAnsi" w:hAnsiTheme="majorHAnsi"/>
          <w:i/>
          <w:color w:val="136C73"/>
          <w:lang w:eastAsia="en-GB"/>
        </w:rPr>
      </w:pPr>
    </w:p>
    <w:p w14:paraId="1E828A4D" w14:textId="77777777" w:rsidR="0060015D" w:rsidRPr="00CA6F8D" w:rsidRDefault="0060015D" w:rsidP="0060015D">
      <w:pPr>
        <w:rPr>
          <w:rFonts w:asciiTheme="majorHAnsi" w:hAnsiTheme="majorHAnsi"/>
          <w:i/>
          <w:color w:val="136C73"/>
          <w:lang w:eastAsia="en-GB"/>
        </w:rPr>
      </w:pPr>
    </w:p>
    <w:p w14:paraId="07E965C9" w14:textId="172FB523" w:rsidR="0042467A" w:rsidRPr="000D4EE3" w:rsidRDefault="006501B9" w:rsidP="000D4EE3">
      <w:pPr>
        <w:rPr>
          <w:rFonts w:ascii="Cambria" w:eastAsia="Calibri" w:hAnsi="Cambria"/>
          <w:lang w:eastAsia="lt-LT"/>
        </w:rPr>
      </w:pPr>
      <w:r w:rsidRPr="000D4EE3">
        <w:rPr>
          <w:rFonts w:ascii="Cambria" w:eastAsia="Calibri" w:hAnsi="Cambria"/>
          <w:lang w:eastAsia="lt-LT"/>
        </w:rPr>
        <w:br w:type="page"/>
      </w:r>
    </w:p>
    <w:p w14:paraId="7EDBD065" w14:textId="77777777" w:rsidR="006501B9" w:rsidRPr="004715B5" w:rsidRDefault="006501B9" w:rsidP="006501B9">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1" w:name="_Toc57129351"/>
      <w:r w:rsidRPr="004715B5">
        <w:rPr>
          <w:rFonts w:ascii="Cambria" w:hAnsi="Cambria"/>
          <w:b/>
          <w:bCs/>
          <w:caps/>
          <w:color w:val="136C73"/>
          <w:sz w:val="36"/>
          <w:szCs w:val="26"/>
          <w:lang w:eastAsia="lt-LT"/>
        </w:rPr>
        <w:lastRenderedPageBreak/>
        <w:t>II. GENERAL ASSESSMENT</w:t>
      </w:r>
      <w:bookmarkEnd w:id="1"/>
    </w:p>
    <w:p w14:paraId="51D6BD15" w14:textId="606AE5A1" w:rsidR="006501B9" w:rsidRDefault="001E5B0C" w:rsidP="00281F32">
      <w:pPr>
        <w:jc w:val="both"/>
        <w:rPr>
          <w:rFonts w:ascii="Cambria" w:eastAsia="Calibri" w:hAnsi="Cambria"/>
          <w:lang w:eastAsia="lt-LT"/>
        </w:rPr>
      </w:pPr>
      <w:r w:rsidRPr="001E5B0C">
        <w:rPr>
          <w:rFonts w:ascii="Cambria" w:eastAsia="Calibri" w:hAnsi="Cambria"/>
          <w:i/>
          <w:lang w:eastAsia="lt-LT"/>
        </w:rPr>
        <w:t xml:space="preserve">Bioengineering study field </w:t>
      </w:r>
      <w:r w:rsidRPr="001E5B0C">
        <w:rPr>
          <w:rFonts w:ascii="Cambria" w:eastAsia="Calibri" w:hAnsi="Cambria"/>
          <w:lang w:eastAsia="lt-LT"/>
        </w:rPr>
        <w:t xml:space="preserve">and </w:t>
      </w:r>
      <w:r w:rsidRPr="00384F20">
        <w:rPr>
          <w:rFonts w:ascii="Cambria" w:eastAsia="Calibri" w:hAnsi="Cambria"/>
          <w:b/>
          <w:i/>
          <w:lang w:eastAsia="lt-LT"/>
        </w:rPr>
        <w:t>first cycle</w:t>
      </w:r>
      <w:r w:rsidRPr="001E5B0C">
        <w:rPr>
          <w:rFonts w:ascii="Cambria" w:eastAsia="Calibri" w:hAnsi="Cambria"/>
          <w:i/>
          <w:lang w:eastAsia="lt-LT"/>
        </w:rPr>
        <w:t xml:space="preserve"> at Vilnius Gediminas Technical University is given </w:t>
      </w:r>
      <w:r w:rsidRPr="00384F20">
        <w:rPr>
          <w:rFonts w:ascii="Cambria" w:eastAsia="Calibri" w:hAnsi="Cambria"/>
          <w:b/>
          <w:i/>
          <w:u w:val="single"/>
          <w:lang w:eastAsia="lt-LT"/>
        </w:rPr>
        <w:t>positive evaluation</w:t>
      </w:r>
      <w:r w:rsidR="006501B9" w:rsidRPr="004715B5">
        <w:rPr>
          <w:rFonts w:ascii="Cambria" w:eastAsia="Calibri" w:hAnsi="Cambria"/>
          <w:lang w:eastAsia="lt-LT"/>
        </w:rPr>
        <w:t xml:space="preserve">. </w:t>
      </w:r>
    </w:p>
    <w:p w14:paraId="27A12F78" w14:textId="77777777" w:rsidR="004A106A" w:rsidRPr="004715B5" w:rsidRDefault="004A106A" w:rsidP="00281F32">
      <w:pPr>
        <w:jc w:val="both"/>
        <w:rPr>
          <w:rFonts w:ascii="Cambria" w:eastAsia="Calibri" w:hAnsi="Cambria"/>
          <w:lang w:eastAsia="lt-LT"/>
        </w:rPr>
      </w:pPr>
    </w:p>
    <w:p w14:paraId="3620BB5A" w14:textId="77777777" w:rsidR="006501B9" w:rsidRPr="004715B5" w:rsidRDefault="006501B9" w:rsidP="00281F32">
      <w:pPr>
        <w:jc w:val="both"/>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501B9" w:rsidRPr="004715B5" w14:paraId="061A21A8" w14:textId="77777777" w:rsidTr="001E5B0C">
        <w:trPr>
          <w:trHeight w:val="60"/>
        </w:trPr>
        <w:tc>
          <w:tcPr>
            <w:tcW w:w="57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0C034AD" w14:textId="77777777" w:rsidR="006501B9" w:rsidRPr="004715B5" w:rsidRDefault="006501B9" w:rsidP="007935F1">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08B1A78B" w14:textId="77777777" w:rsidR="006501B9" w:rsidRPr="004715B5" w:rsidRDefault="006501B9" w:rsidP="007935F1">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2275390B" w14:textId="77777777" w:rsidR="006501B9" w:rsidRPr="004715B5" w:rsidRDefault="006501B9" w:rsidP="007935F1">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1E5B0C" w:rsidRPr="004715B5" w14:paraId="1BE42CF3" w14:textId="77777777" w:rsidTr="001E5B0C">
        <w:trPr>
          <w:trHeight w:val="399"/>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389E886"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CAA22E3" w14:textId="101C5609" w:rsidR="001E5B0C" w:rsidRPr="004715B5" w:rsidRDefault="001E5B0C" w:rsidP="006501B9">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36093FDF" w14:textId="68804637" w:rsidR="001E5B0C" w:rsidRPr="004715B5" w:rsidRDefault="001E5B0C" w:rsidP="007935F1">
            <w:pPr>
              <w:jc w:val="center"/>
              <w:rPr>
                <w:rFonts w:ascii="Cambria" w:eastAsia="Calibri" w:hAnsi="Cambria"/>
                <w:lang w:eastAsia="lt-LT"/>
              </w:rPr>
            </w:pPr>
            <w:r w:rsidRPr="009C4E4A">
              <w:t>3</w:t>
            </w:r>
          </w:p>
        </w:tc>
      </w:tr>
      <w:tr w:rsidR="001E5B0C" w:rsidRPr="004715B5" w14:paraId="4C9AC2C4"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B9D1F13"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5BDE99A" w14:textId="2EFC0275" w:rsidR="001E5B0C" w:rsidRPr="004715B5" w:rsidRDefault="001E5B0C" w:rsidP="006D1CFD">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1B7A0A6" w14:textId="1C12A79D" w:rsidR="001E5B0C" w:rsidRPr="004715B5" w:rsidRDefault="001E5B0C" w:rsidP="007935F1">
            <w:pPr>
              <w:jc w:val="center"/>
              <w:rPr>
                <w:rFonts w:ascii="Cambria" w:eastAsia="Calibri" w:hAnsi="Cambria"/>
                <w:lang w:eastAsia="lt-LT"/>
              </w:rPr>
            </w:pPr>
            <w:r w:rsidRPr="009C4E4A">
              <w:t>3</w:t>
            </w:r>
          </w:p>
        </w:tc>
      </w:tr>
      <w:tr w:rsidR="001E5B0C" w:rsidRPr="004715B5" w14:paraId="339ECEC7"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82EB776"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3411709" w14:textId="77777777" w:rsidR="001E5B0C" w:rsidRPr="004715B5" w:rsidRDefault="001E5B0C"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531DA70F" w14:textId="12B500A3" w:rsidR="001E5B0C" w:rsidRPr="004715B5" w:rsidRDefault="001E5B0C" w:rsidP="007935F1">
            <w:pPr>
              <w:jc w:val="center"/>
              <w:rPr>
                <w:rFonts w:ascii="Cambria" w:eastAsia="Calibri" w:hAnsi="Cambria"/>
                <w:lang w:eastAsia="lt-LT"/>
              </w:rPr>
            </w:pPr>
            <w:r w:rsidRPr="009C4E4A">
              <w:t>4</w:t>
            </w:r>
          </w:p>
        </w:tc>
      </w:tr>
      <w:tr w:rsidR="001E5B0C" w:rsidRPr="004715B5" w14:paraId="6424FCA4"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E6F8A72"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81F35AB" w14:textId="414AAD3D" w:rsidR="001E5B0C" w:rsidRPr="004715B5" w:rsidRDefault="001E5B0C" w:rsidP="006D1CFD">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705ABD81" w14:textId="44E63572" w:rsidR="001E5B0C" w:rsidRPr="004715B5" w:rsidRDefault="001E5B0C" w:rsidP="007935F1">
            <w:pPr>
              <w:jc w:val="center"/>
              <w:rPr>
                <w:rFonts w:ascii="Cambria" w:eastAsia="Calibri" w:hAnsi="Cambria"/>
                <w:lang w:eastAsia="lt-LT"/>
              </w:rPr>
            </w:pPr>
            <w:r w:rsidRPr="009C4E4A">
              <w:t>4</w:t>
            </w:r>
          </w:p>
        </w:tc>
      </w:tr>
      <w:tr w:rsidR="001E5B0C" w:rsidRPr="004715B5" w14:paraId="29765562"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79FD064D"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AE7B94C" w14:textId="77777777" w:rsidR="001E5B0C" w:rsidRPr="004715B5" w:rsidRDefault="001E5B0C"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26BC863B" w14:textId="4E9D3426" w:rsidR="001E5B0C" w:rsidRPr="004715B5" w:rsidRDefault="001E5B0C" w:rsidP="007935F1">
            <w:pPr>
              <w:jc w:val="center"/>
              <w:rPr>
                <w:rFonts w:ascii="Cambria" w:eastAsia="Calibri" w:hAnsi="Cambria"/>
                <w:lang w:eastAsia="lt-LT"/>
              </w:rPr>
            </w:pPr>
            <w:r w:rsidRPr="009C4E4A">
              <w:t>4</w:t>
            </w:r>
          </w:p>
        </w:tc>
      </w:tr>
      <w:tr w:rsidR="001E5B0C" w:rsidRPr="004715B5" w14:paraId="4B1E3423"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BB6632C"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F076F44" w14:textId="77777777" w:rsidR="001E5B0C" w:rsidRPr="004715B5" w:rsidRDefault="001E5B0C"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3B446D34" w14:textId="7FE6788E" w:rsidR="001E5B0C" w:rsidRPr="004715B5" w:rsidRDefault="001E5B0C" w:rsidP="007935F1">
            <w:pPr>
              <w:jc w:val="center"/>
              <w:rPr>
                <w:rFonts w:ascii="Cambria" w:eastAsia="Calibri" w:hAnsi="Cambria"/>
                <w:lang w:eastAsia="lt-LT"/>
              </w:rPr>
            </w:pPr>
            <w:r w:rsidRPr="009C4E4A">
              <w:t>3</w:t>
            </w:r>
          </w:p>
        </w:tc>
      </w:tr>
      <w:tr w:rsidR="001E5B0C" w:rsidRPr="004715B5" w14:paraId="6B4F4222"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0C31128" w14:textId="77777777" w:rsidR="001E5B0C" w:rsidRPr="004715B5" w:rsidRDefault="001E5B0C" w:rsidP="007935F1">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67621B2" w14:textId="68E4DCEB" w:rsidR="001E5B0C" w:rsidRPr="004715B5" w:rsidRDefault="001E5B0C" w:rsidP="006D1CFD">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6CF76E4C" w14:textId="47ABEF39" w:rsidR="001E5B0C" w:rsidRPr="004715B5" w:rsidRDefault="001E5B0C" w:rsidP="007935F1">
            <w:pPr>
              <w:jc w:val="center"/>
              <w:rPr>
                <w:rFonts w:ascii="Cambria" w:eastAsia="Calibri" w:hAnsi="Cambria"/>
                <w:lang w:eastAsia="lt-LT"/>
              </w:rPr>
            </w:pPr>
            <w:r w:rsidRPr="009C4E4A">
              <w:t>4</w:t>
            </w:r>
          </w:p>
        </w:tc>
      </w:tr>
      <w:tr w:rsidR="001E5B0C" w:rsidRPr="004715B5" w14:paraId="0E483301" w14:textId="77777777" w:rsidTr="001E5B0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AA8FB2D" w14:textId="77777777" w:rsidR="001E5B0C" w:rsidRPr="004715B5" w:rsidRDefault="001E5B0C" w:rsidP="007935F1">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FB8CBAF" w14:textId="77777777" w:rsidR="001E5B0C" w:rsidRPr="004715B5" w:rsidRDefault="001E5B0C" w:rsidP="006501B9">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0F6AC65A" w14:textId="2A053F7D" w:rsidR="001E5B0C" w:rsidRPr="004715B5" w:rsidRDefault="001E5B0C" w:rsidP="007935F1">
            <w:pPr>
              <w:jc w:val="center"/>
              <w:rPr>
                <w:rFonts w:ascii="Cambria" w:eastAsia="Calibri" w:hAnsi="Cambria"/>
                <w:b/>
                <w:lang w:eastAsia="lt-LT"/>
              </w:rPr>
            </w:pPr>
            <w:r w:rsidRPr="009C4E4A">
              <w:t>25</w:t>
            </w:r>
          </w:p>
        </w:tc>
      </w:tr>
    </w:tbl>
    <w:p w14:paraId="02D96BB5"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6A05B706"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784B4AD4"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7B829C33"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5CAF5406"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4D3761FD" w14:textId="77777777" w:rsidR="006501B9" w:rsidRDefault="006501B9" w:rsidP="00281F32">
      <w:pPr>
        <w:jc w:val="both"/>
        <w:rPr>
          <w:rFonts w:ascii="Cambria" w:eastAsia="Calibri" w:hAnsi="Cambria"/>
          <w:lang w:eastAsia="lt-LT"/>
        </w:rPr>
      </w:pPr>
    </w:p>
    <w:p w14:paraId="60B711C2" w14:textId="77777777" w:rsidR="006501B9" w:rsidRDefault="006501B9" w:rsidP="00281F32">
      <w:pPr>
        <w:jc w:val="both"/>
        <w:rPr>
          <w:rFonts w:ascii="Cambria" w:eastAsia="Calibri" w:hAnsi="Cambria"/>
          <w:lang w:eastAsia="lt-LT"/>
        </w:rPr>
      </w:pPr>
    </w:p>
    <w:p w14:paraId="3D0F5433" w14:textId="77777777" w:rsidR="006501B9" w:rsidRDefault="006501B9" w:rsidP="00281F32">
      <w:pPr>
        <w:jc w:val="both"/>
        <w:rPr>
          <w:rFonts w:ascii="Cambria" w:eastAsia="Calibri" w:hAnsi="Cambria"/>
          <w:i/>
          <w:highlight w:val="yellow"/>
          <w:lang w:eastAsia="lt-LT"/>
        </w:rPr>
      </w:pPr>
    </w:p>
    <w:p w14:paraId="101E0272" w14:textId="4950E905" w:rsidR="006501B9" w:rsidRDefault="00C4000D" w:rsidP="00281F32">
      <w:pPr>
        <w:jc w:val="both"/>
        <w:rPr>
          <w:rFonts w:ascii="Cambria" w:eastAsia="Calibri" w:hAnsi="Cambria"/>
          <w:lang w:eastAsia="lt-LT"/>
        </w:rPr>
      </w:pPr>
      <w:r w:rsidRPr="00C4000D">
        <w:rPr>
          <w:rFonts w:ascii="Cambria" w:eastAsia="Calibri" w:hAnsi="Cambria"/>
          <w:i/>
          <w:lang w:eastAsia="lt-LT"/>
        </w:rPr>
        <w:t xml:space="preserve">Bioengineering study field </w:t>
      </w:r>
      <w:r w:rsidRPr="00C4000D">
        <w:rPr>
          <w:rFonts w:ascii="Cambria" w:eastAsia="Calibri" w:hAnsi="Cambria"/>
          <w:lang w:eastAsia="lt-LT"/>
        </w:rPr>
        <w:t>and</w:t>
      </w:r>
      <w:r w:rsidRPr="00C4000D">
        <w:rPr>
          <w:rFonts w:ascii="Cambria" w:eastAsia="Calibri" w:hAnsi="Cambria"/>
          <w:i/>
          <w:lang w:eastAsia="lt-LT"/>
        </w:rPr>
        <w:t xml:space="preserve"> </w:t>
      </w:r>
      <w:r w:rsidRPr="00384F20">
        <w:rPr>
          <w:rFonts w:ascii="Cambria" w:eastAsia="Calibri" w:hAnsi="Cambria"/>
          <w:b/>
          <w:i/>
          <w:lang w:eastAsia="lt-LT"/>
        </w:rPr>
        <w:t>second cycle</w:t>
      </w:r>
      <w:r w:rsidRPr="00C4000D">
        <w:rPr>
          <w:rFonts w:ascii="Cambria" w:eastAsia="Calibri" w:hAnsi="Cambria"/>
          <w:i/>
          <w:lang w:eastAsia="lt-LT"/>
        </w:rPr>
        <w:t xml:space="preserve"> at Vilnius Gediminas Technical University is given </w:t>
      </w:r>
      <w:r w:rsidRPr="00384F20">
        <w:rPr>
          <w:rFonts w:ascii="Cambria" w:eastAsia="Calibri" w:hAnsi="Cambria"/>
          <w:b/>
          <w:i/>
          <w:u w:val="single"/>
          <w:lang w:eastAsia="lt-LT"/>
        </w:rPr>
        <w:t>positive evaluation</w:t>
      </w:r>
      <w:r w:rsidRPr="00C4000D">
        <w:rPr>
          <w:rFonts w:ascii="Cambria" w:eastAsia="Calibri" w:hAnsi="Cambria"/>
          <w:i/>
          <w:lang w:eastAsia="lt-LT"/>
        </w:rPr>
        <w:t>.</w:t>
      </w:r>
    </w:p>
    <w:p w14:paraId="4008378A" w14:textId="77777777" w:rsidR="004A106A" w:rsidRPr="004715B5" w:rsidRDefault="004A106A" w:rsidP="00281F32">
      <w:pPr>
        <w:jc w:val="both"/>
        <w:rPr>
          <w:rFonts w:ascii="Cambria" w:eastAsia="Calibri" w:hAnsi="Cambria"/>
          <w:lang w:eastAsia="lt-LT"/>
        </w:rPr>
      </w:pPr>
    </w:p>
    <w:p w14:paraId="6A5081B0" w14:textId="77777777" w:rsidR="006501B9" w:rsidRDefault="006501B9" w:rsidP="00281F32">
      <w:pPr>
        <w:jc w:val="both"/>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D1CFD" w:rsidRPr="004715B5" w14:paraId="11A1CA28" w14:textId="77777777" w:rsidTr="00C4000D">
        <w:trPr>
          <w:trHeight w:val="60"/>
        </w:trPr>
        <w:tc>
          <w:tcPr>
            <w:tcW w:w="57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703FCEB" w14:textId="77777777" w:rsidR="006D1CFD" w:rsidRPr="004715B5" w:rsidRDefault="006D1CFD" w:rsidP="007935F1">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F0A6936" w14:textId="77777777" w:rsidR="006D1CFD" w:rsidRPr="004715B5" w:rsidRDefault="006D1CFD" w:rsidP="007935F1">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0D730C0B" w14:textId="77777777" w:rsidR="006D1CFD" w:rsidRPr="004715B5" w:rsidRDefault="006D1CFD" w:rsidP="007935F1">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C4000D" w:rsidRPr="004715B5" w14:paraId="7E655753" w14:textId="77777777" w:rsidTr="00C4000D">
        <w:trPr>
          <w:trHeight w:val="399"/>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6D510F0"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6F787B4" w14:textId="77777777" w:rsidR="00C4000D" w:rsidRPr="004715B5" w:rsidRDefault="00C4000D" w:rsidP="007935F1">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511DC6ED" w14:textId="7E8CB166" w:rsidR="00C4000D" w:rsidRPr="004715B5" w:rsidRDefault="00C4000D" w:rsidP="007935F1">
            <w:pPr>
              <w:jc w:val="center"/>
              <w:rPr>
                <w:rFonts w:ascii="Cambria" w:eastAsia="Calibri" w:hAnsi="Cambria"/>
                <w:lang w:eastAsia="lt-LT"/>
              </w:rPr>
            </w:pPr>
            <w:r w:rsidRPr="005A012F">
              <w:t>3</w:t>
            </w:r>
          </w:p>
        </w:tc>
      </w:tr>
      <w:tr w:rsidR="00C4000D" w:rsidRPr="004715B5" w14:paraId="54A19181"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0D3F434"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E4C3BD8" w14:textId="77777777" w:rsidR="00C4000D" w:rsidRPr="004715B5" w:rsidRDefault="00C4000D" w:rsidP="007935F1">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3DA095DA" w14:textId="767E9BB9" w:rsidR="00C4000D" w:rsidRPr="004715B5" w:rsidRDefault="00C4000D" w:rsidP="007935F1">
            <w:pPr>
              <w:jc w:val="center"/>
              <w:rPr>
                <w:rFonts w:ascii="Cambria" w:eastAsia="Calibri" w:hAnsi="Cambria"/>
                <w:lang w:eastAsia="lt-LT"/>
              </w:rPr>
            </w:pPr>
            <w:r w:rsidRPr="005A012F">
              <w:t>3</w:t>
            </w:r>
          </w:p>
        </w:tc>
      </w:tr>
      <w:tr w:rsidR="00C4000D" w:rsidRPr="004715B5" w14:paraId="4793F7F1"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557DC60"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6AE38E7" w14:textId="77777777" w:rsidR="00C4000D" w:rsidRPr="004715B5" w:rsidRDefault="00C4000D" w:rsidP="007935F1">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04C9AA39" w14:textId="72290A34" w:rsidR="00C4000D" w:rsidRPr="004715B5" w:rsidRDefault="00C4000D" w:rsidP="007935F1">
            <w:pPr>
              <w:jc w:val="center"/>
              <w:rPr>
                <w:rFonts w:ascii="Cambria" w:eastAsia="Calibri" w:hAnsi="Cambria"/>
                <w:lang w:eastAsia="lt-LT"/>
              </w:rPr>
            </w:pPr>
            <w:r w:rsidRPr="005A012F">
              <w:t>4</w:t>
            </w:r>
          </w:p>
        </w:tc>
      </w:tr>
      <w:tr w:rsidR="00C4000D" w:rsidRPr="004715B5" w14:paraId="487ED3A1"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29BAAFA"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8FAE4CD" w14:textId="77777777" w:rsidR="00C4000D" w:rsidRPr="004715B5" w:rsidRDefault="00C4000D" w:rsidP="007935F1">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4C287E37" w14:textId="2B7972CA" w:rsidR="00C4000D" w:rsidRPr="004715B5" w:rsidRDefault="00C4000D" w:rsidP="007935F1">
            <w:pPr>
              <w:jc w:val="center"/>
              <w:rPr>
                <w:rFonts w:ascii="Cambria" w:eastAsia="Calibri" w:hAnsi="Cambria"/>
                <w:lang w:eastAsia="lt-LT"/>
              </w:rPr>
            </w:pPr>
            <w:r w:rsidRPr="005A012F">
              <w:t>4</w:t>
            </w:r>
          </w:p>
        </w:tc>
      </w:tr>
      <w:tr w:rsidR="00C4000D" w:rsidRPr="004715B5" w14:paraId="28F47AF6"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489A48D"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F7A7FA0" w14:textId="77777777" w:rsidR="00C4000D" w:rsidRPr="004715B5" w:rsidRDefault="00C4000D" w:rsidP="007935F1">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497F0520" w14:textId="6D3579A2" w:rsidR="00C4000D" w:rsidRPr="004715B5" w:rsidRDefault="00C4000D" w:rsidP="007935F1">
            <w:pPr>
              <w:jc w:val="center"/>
              <w:rPr>
                <w:rFonts w:ascii="Cambria" w:eastAsia="Calibri" w:hAnsi="Cambria"/>
                <w:lang w:eastAsia="lt-LT"/>
              </w:rPr>
            </w:pPr>
            <w:r w:rsidRPr="005A012F">
              <w:t>4</w:t>
            </w:r>
          </w:p>
        </w:tc>
      </w:tr>
      <w:tr w:rsidR="00C4000D" w:rsidRPr="004715B5" w14:paraId="2BA560FE"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61DFD25"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7853CC0" w14:textId="77777777" w:rsidR="00C4000D" w:rsidRPr="004715B5" w:rsidRDefault="00C4000D" w:rsidP="007935F1">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1D785018" w14:textId="37883C48" w:rsidR="00C4000D" w:rsidRPr="004715B5" w:rsidRDefault="00C4000D" w:rsidP="007935F1">
            <w:pPr>
              <w:jc w:val="center"/>
              <w:rPr>
                <w:rFonts w:ascii="Cambria" w:eastAsia="Calibri" w:hAnsi="Cambria"/>
                <w:lang w:eastAsia="lt-LT"/>
              </w:rPr>
            </w:pPr>
            <w:r w:rsidRPr="005A012F">
              <w:t>3</w:t>
            </w:r>
          </w:p>
        </w:tc>
      </w:tr>
      <w:tr w:rsidR="00C4000D" w:rsidRPr="004715B5" w14:paraId="41E2A021"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286B390" w14:textId="77777777" w:rsidR="00C4000D" w:rsidRPr="004715B5" w:rsidRDefault="00C4000D" w:rsidP="007935F1">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4A35323" w14:textId="77777777" w:rsidR="00C4000D" w:rsidRPr="004715B5" w:rsidRDefault="00C4000D" w:rsidP="007935F1">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08B9258F" w14:textId="007D5686" w:rsidR="00C4000D" w:rsidRPr="004715B5" w:rsidRDefault="00C4000D" w:rsidP="007935F1">
            <w:pPr>
              <w:jc w:val="center"/>
              <w:rPr>
                <w:rFonts w:ascii="Cambria" w:eastAsia="Calibri" w:hAnsi="Cambria"/>
                <w:lang w:eastAsia="lt-LT"/>
              </w:rPr>
            </w:pPr>
            <w:r w:rsidRPr="005A012F">
              <w:t>4</w:t>
            </w:r>
          </w:p>
        </w:tc>
      </w:tr>
      <w:tr w:rsidR="00C4000D" w:rsidRPr="004715B5" w14:paraId="39465BAE" w14:textId="77777777" w:rsidTr="00C4000D">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E25DD9F" w14:textId="77777777" w:rsidR="00C4000D" w:rsidRPr="004715B5" w:rsidRDefault="00C4000D" w:rsidP="007935F1">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DB3E238" w14:textId="77777777" w:rsidR="00C4000D" w:rsidRPr="004715B5" w:rsidRDefault="00C4000D" w:rsidP="007935F1">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14:paraId="78FA66CA" w14:textId="636D0747" w:rsidR="00C4000D" w:rsidRPr="004715B5" w:rsidRDefault="00C4000D" w:rsidP="007935F1">
            <w:pPr>
              <w:jc w:val="center"/>
              <w:rPr>
                <w:rFonts w:ascii="Cambria" w:eastAsia="Calibri" w:hAnsi="Cambria"/>
                <w:b/>
                <w:lang w:eastAsia="lt-LT"/>
              </w:rPr>
            </w:pPr>
            <w:r w:rsidRPr="005A012F">
              <w:t>25</w:t>
            </w:r>
          </w:p>
        </w:tc>
      </w:tr>
    </w:tbl>
    <w:p w14:paraId="3E71C1D4"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2D25B5B6"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1AB8DCD6"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40FCCFCA" w14:textId="77777777" w:rsidR="006501B9"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0A6377B7" w14:textId="24F44D52" w:rsidR="006D1CFD" w:rsidRPr="004715B5" w:rsidRDefault="006501B9" w:rsidP="00281F32">
      <w:pPr>
        <w:jc w:val="both"/>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29FC2F5D" w14:textId="77777777" w:rsidR="00677F9A" w:rsidRDefault="00677F9A" w:rsidP="00281F32">
      <w:pPr>
        <w:jc w:val="both"/>
        <w:rPr>
          <w:rFonts w:ascii="Cambria" w:eastAsia="Calibri" w:hAnsi="Cambria"/>
          <w:lang w:eastAsia="lt-LT"/>
        </w:rPr>
      </w:pPr>
    </w:p>
    <w:p w14:paraId="340BCBBA" w14:textId="62A89D2C" w:rsidR="00677F9A" w:rsidRPr="00677F9A" w:rsidRDefault="00677F9A" w:rsidP="004A106A">
      <w:pPr>
        <w:keepNext/>
        <w:keepLines/>
        <w:tabs>
          <w:tab w:val="left" w:pos="680"/>
        </w:tabs>
        <w:spacing w:before="240" w:after="240"/>
        <w:jc w:val="center"/>
        <w:outlineLvl w:val="1"/>
        <w:rPr>
          <w:rFonts w:ascii="Cambria" w:hAnsi="Cambria"/>
          <w:b/>
          <w:bCs/>
          <w:caps/>
          <w:color w:val="136C73"/>
          <w:sz w:val="36"/>
          <w:szCs w:val="26"/>
          <w:lang w:eastAsia="lt-LT"/>
        </w:rPr>
      </w:pPr>
      <w:bookmarkStart w:id="2" w:name="_Toc57129361"/>
      <w:r w:rsidRPr="00677F9A">
        <w:rPr>
          <w:rFonts w:ascii="Cambria" w:hAnsi="Cambria"/>
          <w:b/>
          <w:bCs/>
          <w:caps/>
          <w:color w:val="136C73"/>
          <w:sz w:val="36"/>
          <w:szCs w:val="26"/>
          <w:lang w:eastAsia="lt-LT"/>
        </w:rPr>
        <w:lastRenderedPageBreak/>
        <w:t>v. RECOMMENDATIONS</w:t>
      </w:r>
      <w:bookmarkEnd w:id="2"/>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C4000D" w:rsidRPr="00C4000D" w14:paraId="21B4D5E7" w14:textId="77777777" w:rsidTr="007935F1">
        <w:trPr>
          <w:trHeight w:val="654"/>
        </w:trPr>
        <w:tc>
          <w:tcPr>
            <w:tcW w:w="2660" w:type="dxa"/>
            <w:tcBorders>
              <w:bottom w:val="single" w:sz="4" w:space="0" w:color="000000"/>
            </w:tcBorders>
            <w:shd w:val="clear" w:color="auto" w:fill="EEECE1"/>
            <w:vAlign w:val="center"/>
          </w:tcPr>
          <w:p w14:paraId="361A46BB" w14:textId="77777777" w:rsidR="00C4000D" w:rsidRPr="00C4000D" w:rsidRDefault="00C4000D" w:rsidP="00C4000D">
            <w:pPr>
              <w:jc w:val="center"/>
              <w:rPr>
                <w:rFonts w:ascii="Cambria" w:eastAsia="Cambria" w:hAnsi="Cambria" w:cs="Cambria"/>
                <w:b/>
                <w:color w:val="136C73"/>
                <w:lang w:eastAsia="lt-LT"/>
              </w:rPr>
            </w:pPr>
            <w:bookmarkStart w:id="3" w:name="_Toc57129362"/>
            <w:r w:rsidRPr="00C4000D">
              <w:rPr>
                <w:rFonts w:ascii="Cambria" w:eastAsia="Cambria" w:hAnsi="Cambria" w:cs="Cambria"/>
                <w:b/>
                <w:color w:val="136C73"/>
                <w:lang w:eastAsia="lt-LT"/>
              </w:rPr>
              <w:t>Evaluation Area</w:t>
            </w:r>
          </w:p>
        </w:tc>
        <w:tc>
          <w:tcPr>
            <w:tcW w:w="7194" w:type="dxa"/>
            <w:shd w:val="clear" w:color="auto" w:fill="EEECE1"/>
            <w:vAlign w:val="center"/>
          </w:tcPr>
          <w:p w14:paraId="29183BA4" w14:textId="77777777" w:rsidR="00C4000D" w:rsidRPr="00C4000D" w:rsidRDefault="00C4000D" w:rsidP="00C4000D">
            <w:pPr>
              <w:jc w:val="center"/>
              <w:rPr>
                <w:rFonts w:ascii="Cambria" w:eastAsia="Cambria" w:hAnsi="Cambria" w:cs="Cambria"/>
                <w:b/>
                <w:color w:val="136C73"/>
                <w:lang w:eastAsia="lt-LT"/>
              </w:rPr>
            </w:pPr>
            <w:r w:rsidRPr="00C4000D">
              <w:rPr>
                <w:rFonts w:ascii="Cambria" w:eastAsia="Cambria" w:hAnsi="Cambria" w:cs="Cambria"/>
                <w:b/>
                <w:color w:val="136C73"/>
                <w:lang w:eastAsia="lt-LT"/>
              </w:rPr>
              <w:t>Recommendations for the Evaluation Area (study cycle)</w:t>
            </w:r>
          </w:p>
        </w:tc>
      </w:tr>
      <w:tr w:rsidR="00C4000D" w:rsidRPr="00C4000D" w14:paraId="5D1D3155" w14:textId="77777777" w:rsidTr="007935F1">
        <w:trPr>
          <w:trHeight w:val="2778"/>
        </w:trPr>
        <w:tc>
          <w:tcPr>
            <w:tcW w:w="2660" w:type="dxa"/>
            <w:shd w:val="clear" w:color="auto" w:fill="EEECE1"/>
            <w:vAlign w:val="center"/>
          </w:tcPr>
          <w:p w14:paraId="317EB1CC"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t>Intended and achieved learning outcomes and curriculum</w:t>
            </w:r>
          </w:p>
        </w:tc>
        <w:tc>
          <w:tcPr>
            <w:tcW w:w="7194" w:type="dxa"/>
            <w:vAlign w:val="center"/>
          </w:tcPr>
          <w:p w14:paraId="64779F65" w14:textId="77777777" w:rsidR="00C4000D" w:rsidRPr="00C4000D" w:rsidRDefault="00C4000D" w:rsidP="00C4000D">
            <w:pPr>
              <w:numPr>
                <w:ilvl w:val="6"/>
                <w:numId w:val="20"/>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Include interaction with medical/health care professionals in the curriculum.</w:t>
            </w:r>
          </w:p>
          <w:p w14:paraId="5C2AE00C" w14:textId="77777777" w:rsidR="00C4000D" w:rsidRPr="00C4000D" w:rsidRDefault="00C4000D" w:rsidP="00C4000D">
            <w:pPr>
              <w:numPr>
                <w:ilvl w:val="6"/>
                <w:numId w:val="20"/>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Incorporate and integrate training in oral and written scientific communication in English also in the Lithuanian programmes.</w:t>
            </w:r>
          </w:p>
          <w:p w14:paraId="73E21DF3" w14:textId="77777777" w:rsidR="00C4000D" w:rsidRPr="00C4000D" w:rsidRDefault="00C4000D" w:rsidP="00C4000D">
            <w:pPr>
              <w:numPr>
                <w:ilvl w:val="6"/>
                <w:numId w:val="20"/>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Extend the curriculum with relevant elective courses to improve the possibilities for students to personalise their education.</w:t>
            </w:r>
          </w:p>
          <w:p w14:paraId="44A3DB34" w14:textId="77777777" w:rsidR="00C4000D" w:rsidRPr="00C4000D" w:rsidRDefault="00C4000D" w:rsidP="00C4000D">
            <w:pPr>
              <w:numPr>
                <w:ilvl w:val="6"/>
                <w:numId w:val="20"/>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Change the title of the first cycle study programme from ‘Biomechanics’ to ’Biomedical Engineering'.</w:t>
            </w:r>
          </w:p>
        </w:tc>
      </w:tr>
      <w:tr w:rsidR="00C4000D" w:rsidRPr="00C4000D" w14:paraId="1AB3D032" w14:textId="77777777" w:rsidTr="007935F1">
        <w:trPr>
          <w:trHeight w:val="4479"/>
        </w:trPr>
        <w:tc>
          <w:tcPr>
            <w:tcW w:w="2660" w:type="dxa"/>
            <w:shd w:val="clear" w:color="auto" w:fill="EEECE1"/>
            <w:vAlign w:val="center"/>
          </w:tcPr>
          <w:p w14:paraId="43FA62BE"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t>Links between science (art) and studies</w:t>
            </w:r>
          </w:p>
        </w:tc>
        <w:tc>
          <w:tcPr>
            <w:tcW w:w="7194" w:type="dxa"/>
            <w:vAlign w:val="center"/>
          </w:tcPr>
          <w:p w14:paraId="77AAFD32" w14:textId="77777777" w:rsidR="00C4000D" w:rsidRPr="00C4000D" w:rsidRDefault="00C4000D" w:rsidP="00C4000D">
            <w:pPr>
              <w:numPr>
                <w:ilvl w:val="6"/>
                <w:numId w:val="21"/>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 xml:space="preserve">Only a few grant applications have been funded in recent years. Coordinated and University supported grant applications should be actively continued to create a sustainable project application process. </w:t>
            </w:r>
          </w:p>
          <w:p w14:paraId="75C04FC3" w14:textId="77777777" w:rsidR="00C4000D" w:rsidRPr="00C4000D" w:rsidRDefault="00C4000D" w:rsidP="00C4000D">
            <w:pPr>
              <w:numPr>
                <w:ilvl w:val="6"/>
                <w:numId w:val="21"/>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The participation of both masters and bachelors students (e.g. through the final thesis) to participate in research, creative thinking and present their research publically is not yet very popular. In this context the HEI could create even better conditions for the students to get involved in scientific activities (e.g specifically to provide metal printing possibility).</w:t>
            </w:r>
          </w:p>
          <w:p w14:paraId="6DC0DB8E" w14:textId="77777777" w:rsidR="00C4000D" w:rsidRPr="00C4000D" w:rsidRDefault="00C4000D" w:rsidP="00C4000D">
            <w:pPr>
              <w:numPr>
                <w:ilvl w:val="6"/>
                <w:numId w:val="21"/>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Intellectual property issues seem not very actively addressed. Innovation activities resulting in intellectual property output (e.g. as patent applications) could be one way to foster international collaboration with the companies outside Lithuania.</w:t>
            </w:r>
          </w:p>
        </w:tc>
      </w:tr>
      <w:tr w:rsidR="00C4000D" w:rsidRPr="00C4000D" w14:paraId="32D9F716" w14:textId="77777777" w:rsidTr="007935F1">
        <w:trPr>
          <w:trHeight w:val="3061"/>
        </w:trPr>
        <w:tc>
          <w:tcPr>
            <w:tcW w:w="2660" w:type="dxa"/>
            <w:shd w:val="clear" w:color="auto" w:fill="EEECE1"/>
            <w:vAlign w:val="center"/>
          </w:tcPr>
          <w:p w14:paraId="7F46E082"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t>Student admission and support</w:t>
            </w:r>
          </w:p>
        </w:tc>
        <w:tc>
          <w:tcPr>
            <w:tcW w:w="7194" w:type="dxa"/>
            <w:vAlign w:val="center"/>
          </w:tcPr>
          <w:p w14:paraId="5D1FCCF7" w14:textId="77777777" w:rsidR="00C4000D" w:rsidRPr="00C4000D" w:rsidRDefault="00C4000D" w:rsidP="00C4000D">
            <w:pPr>
              <w:numPr>
                <w:ilvl w:val="0"/>
                <w:numId w:val="18"/>
              </w:numPr>
              <w:tabs>
                <w:tab w:val="left" w:pos="426"/>
                <w:tab w:val="left" w:pos="1298"/>
                <w:tab w:val="left" w:pos="1985"/>
              </w:tabs>
              <w:spacing w:after="120"/>
              <w:ind w:left="459" w:hanging="425"/>
              <w:jc w:val="both"/>
              <w:rPr>
                <w:rFonts w:ascii="Cambria" w:eastAsia="Cambria" w:hAnsi="Cambria" w:cs="Cambria"/>
                <w:lang w:eastAsia="lt-LT"/>
              </w:rPr>
            </w:pPr>
            <w:r w:rsidRPr="00C4000D">
              <w:rPr>
                <w:rFonts w:ascii="Cambria" w:eastAsia="Cambria" w:hAnsi="Cambria" w:cs="Cambria"/>
                <w:lang w:eastAsia="lt-LT"/>
              </w:rPr>
              <w:t>To promote academic mobility among students more, provide them with all necessary information, resources and counselling regarding this topic. Overall increase in study quality, extensive advertising and collaboration with foreign HEI’s could help to increase the rates of incoming students.</w:t>
            </w:r>
          </w:p>
          <w:p w14:paraId="280715BF" w14:textId="77BAE085" w:rsidR="00C4000D" w:rsidRPr="00C4000D" w:rsidRDefault="00C4000D" w:rsidP="00455D6D">
            <w:pPr>
              <w:numPr>
                <w:ilvl w:val="0"/>
                <w:numId w:val="18"/>
              </w:numPr>
              <w:tabs>
                <w:tab w:val="left" w:pos="426"/>
                <w:tab w:val="left" w:pos="1298"/>
                <w:tab w:val="left" w:pos="1985"/>
              </w:tabs>
              <w:spacing w:after="120"/>
              <w:ind w:left="459" w:hanging="425"/>
              <w:jc w:val="both"/>
              <w:rPr>
                <w:rFonts w:ascii="Cambria" w:eastAsia="Cambria" w:hAnsi="Cambria" w:cs="Cambria"/>
                <w:lang w:eastAsia="lt-LT"/>
              </w:rPr>
            </w:pPr>
            <w:r w:rsidRPr="00C4000D">
              <w:rPr>
                <w:rFonts w:ascii="Cambria" w:eastAsia="Cambria" w:hAnsi="Cambria" w:cs="Cambria"/>
                <w:lang w:eastAsia="lt-LT"/>
              </w:rPr>
              <w:t xml:space="preserve">Increase the number of admitted students to both first and second cycle studies. Good study quality, advertising, prospects of promising scientific work and career can be helpful in attracting more students to first and second cycle studies of </w:t>
            </w:r>
            <w:r w:rsidR="00455D6D">
              <w:rPr>
                <w:rFonts w:ascii="Cambria" w:eastAsia="Cambria" w:hAnsi="Cambria" w:cs="Cambria"/>
                <w:lang w:eastAsia="lt-LT"/>
              </w:rPr>
              <w:t>b</w:t>
            </w:r>
            <w:r w:rsidRPr="00C4000D">
              <w:rPr>
                <w:rFonts w:ascii="Cambria" w:eastAsia="Cambria" w:hAnsi="Cambria" w:cs="Cambria"/>
                <w:lang w:eastAsia="lt-LT"/>
              </w:rPr>
              <w:t>ioengineering field in Vilnius Tech.</w:t>
            </w:r>
          </w:p>
        </w:tc>
      </w:tr>
      <w:tr w:rsidR="00C4000D" w:rsidRPr="00C4000D" w14:paraId="069F2174" w14:textId="77777777" w:rsidTr="007935F1">
        <w:trPr>
          <w:trHeight w:val="1984"/>
        </w:trPr>
        <w:tc>
          <w:tcPr>
            <w:tcW w:w="2660" w:type="dxa"/>
            <w:shd w:val="clear" w:color="auto" w:fill="EEECE1"/>
            <w:vAlign w:val="center"/>
          </w:tcPr>
          <w:p w14:paraId="6EE8D165"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t>Teaching and learning, student performance and graduate employment</w:t>
            </w:r>
          </w:p>
        </w:tc>
        <w:tc>
          <w:tcPr>
            <w:tcW w:w="7194" w:type="dxa"/>
            <w:vAlign w:val="center"/>
          </w:tcPr>
          <w:p w14:paraId="74B5F7B0" w14:textId="77777777" w:rsidR="00C4000D" w:rsidRPr="00C4000D" w:rsidRDefault="00C4000D" w:rsidP="00C4000D">
            <w:pPr>
              <w:numPr>
                <w:ilvl w:val="0"/>
                <w:numId w:val="22"/>
              </w:numPr>
              <w:tabs>
                <w:tab w:val="left" w:pos="1298"/>
                <w:tab w:val="left" w:pos="1701"/>
                <w:tab w:val="left" w:pos="1985"/>
              </w:tabs>
              <w:spacing w:after="120"/>
              <w:ind w:left="459" w:hanging="459"/>
              <w:jc w:val="both"/>
              <w:rPr>
                <w:rFonts w:ascii="Cambria" w:eastAsia="Calibri" w:hAnsi="Cambria" w:cs="Calibri"/>
                <w:lang w:eastAsia="lt-LT"/>
              </w:rPr>
            </w:pPr>
            <w:r w:rsidRPr="00C4000D">
              <w:rPr>
                <w:rFonts w:ascii="Cambria" w:eastAsia="Calibri" w:hAnsi="Cambria" w:cs="Calibri"/>
                <w:lang w:eastAsia="lt-LT"/>
              </w:rPr>
              <w:t xml:space="preserve">Expand the curriculum to include more aspects of the medical product lifecycle. </w:t>
            </w:r>
          </w:p>
          <w:p w14:paraId="03EC1FA4" w14:textId="77777777" w:rsidR="00C4000D" w:rsidRPr="00C4000D" w:rsidRDefault="00C4000D" w:rsidP="00C4000D">
            <w:pPr>
              <w:numPr>
                <w:ilvl w:val="0"/>
                <w:numId w:val="22"/>
              </w:numPr>
              <w:tabs>
                <w:tab w:val="left" w:pos="1298"/>
                <w:tab w:val="left" w:pos="1701"/>
                <w:tab w:val="left" w:pos="1985"/>
              </w:tabs>
              <w:spacing w:after="120"/>
              <w:ind w:left="459" w:hanging="459"/>
              <w:jc w:val="both"/>
              <w:rPr>
                <w:rFonts w:ascii="Cambria" w:eastAsia="Calibri" w:hAnsi="Cambria" w:cs="Calibri"/>
                <w:lang w:eastAsia="lt-LT"/>
              </w:rPr>
            </w:pPr>
            <w:r w:rsidRPr="00C4000D">
              <w:rPr>
                <w:rFonts w:ascii="Cambria" w:eastAsia="Calibri" w:hAnsi="Cambria" w:cs="Calibri"/>
                <w:lang w:eastAsia="lt-LT"/>
              </w:rPr>
              <w:t xml:space="preserve">Introduce learning activities that develop reasoning skills and decision evaluation. </w:t>
            </w:r>
          </w:p>
          <w:p w14:paraId="14867E11" w14:textId="77777777" w:rsidR="00C4000D" w:rsidRPr="00C4000D" w:rsidRDefault="00C4000D" w:rsidP="00C4000D">
            <w:pPr>
              <w:numPr>
                <w:ilvl w:val="0"/>
                <w:numId w:val="22"/>
              </w:numPr>
              <w:tabs>
                <w:tab w:val="left" w:pos="1298"/>
                <w:tab w:val="left" w:pos="1701"/>
                <w:tab w:val="left" w:pos="1985"/>
              </w:tabs>
              <w:spacing w:after="120"/>
              <w:ind w:left="459" w:hanging="459"/>
              <w:jc w:val="both"/>
              <w:rPr>
                <w:rFonts w:ascii="Cambria" w:eastAsia="Cambria" w:hAnsi="Cambria" w:cs="Cambria"/>
                <w:lang w:eastAsia="lt-LT"/>
              </w:rPr>
            </w:pPr>
            <w:r w:rsidRPr="00C4000D">
              <w:rPr>
                <w:rFonts w:ascii="Cambria" w:eastAsia="Calibri" w:hAnsi="Cambria" w:cs="Calibri"/>
                <w:lang w:eastAsia="lt-LT"/>
              </w:rPr>
              <w:t>Introduce sessions dedicated to giving and explaining feedback for assessed work.</w:t>
            </w:r>
          </w:p>
        </w:tc>
      </w:tr>
      <w:tr w:rsidR="00C4000D" w:rsidRPr="00C4000D" w14:paraId="4EE63AEF" w14:textId="77777777" w:rsidTr="004A106A">
        <w:trPr>
          <w:trHeight w:val="557"/>
        </w:trPr>
        <w:tc>
          <w:tcPr>
            <w:tcW w:w="2660" w:type="dxa"/>
            <w:shd w:val="clear" w:color="auto" w:fill="EEECE1"/>
            <w:vAlign w:val="center"/>
          </w:tcPr>
          <w:p w14:paraId="21D3195D"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t>Teaching staff</w:t>
            </w:r>
          </w:p>
        </w:tc>
        <w:tc>
          <w:tcPr>
            <w:tcW w:w="7194" w:type="dxa"/>
            <w:vAlign w:val="center"/>
          </w:tcPr>
          <w:p w14:paraId="3A80BD6E" w14:textId="77777777" w:rsidR="00C4000D" w:rsidRPr="00C4000D" w:rsidRDefault="00C4000D" w:rsidP="00C4000D">
            <w:pPr>
              <w:numPr>
                <w:ilvl w:val="0"/>
                <w:numId w:val="17"/>
              </w:numPr>
              <w:tabs>
                <w:tab w:val="left" w:pos="1298"/>
                <w:tab w:val="left" w:pos="1701"/>
                <w:tab w:val="left" w:pos="1985"/>
              </w:tabs>
              <w:spacing w:after="120"/>
              <w:ind w:left="459" w:hanging="425"/>
              <w:jc w:val="both"/>
              <w:rPr>
                <w:rFonts w:ascii="Cambria" w:eastAsia="Cambria" w:hAnsi="Cambria" w:cs="Cambria"/>
                <w:lang w:eastAsia="lt-LT"/>
              </w:rPr>
            </w:pPr>
            <w:r w:rsidRPr="00C4000D">
              <w:rPr>
                <w:rFonts w:ascii="Cambria" w:eastAsia="Cambria" w:hAnsi="Cambria" w:cs="Cambria"/>
                <w:lang w:eastAsia="lt-LT"/>
              </w:rPr>
              <w:t>Consideration should be given to developing recruitment strategies so that there is a greater diversity in educational and employment background for, particularly senior, teaching staff.</w:t>
            </w:r>
          </w:p>
          <w:p w14:paraId="77F00B16" w14:textId="77777777" w:rsidR="00C4000D" w:rsidRPr="00C4000D" w:rsidRDefault="00C4000D" w:rsidP="00C4000D">
            <w:pPr>
              <w:numPr>
                <w:ilvl w:val="0"/>
                <w:numId w:val="17"/>
              </w:numPr>
              <w:tabs>
                <w:tab w:val="left" w:pos="1298"/>
                <w:tab w:val="left" w:pos="1701"/>
                <w:tab w:val="left" w:pos="1985"/>
              </w:tabs>
              <w:spacing w:after="120"/>
              <w:ind w:left="459" w:hanging="425"/>
              <w:jc w:val="both"/>
              <w:rPr>
                <w:rFonts w:ascii="Cambria" w:eastAsia="Cambria" w:hAnsi="Cambria" w:cs="Cambria"/>
                <w:lang w:eastAsia="lt-LT"/>
              </w:rPr>
            </w:pPr>
            <w:r w:rsidRPr="00C4000D">
              <w:rPr>
                <w:rFonts w:ascii="Cambria" w:eastAsia="Cambria" w:hAnsi="Cambria" w:cs="Cambria"/>
                <w:lang w:eastAsia="lt-LT"/>
              </w:rPr>
              <w:t xml:space="preserve">All staff, particularly those at junior grades, should make use of </w:t>
            </w:r>
            <w:r w:rsidRPr="00C4000D">
              <w:rPr>
                <w:rFonts w:ascii="Cambria" w:eastAsia="Cambria" w:hAnsi="Cambria" w:cs="Cambria"/>
                <w:lang w:eastAsia="lt-LT"/>
              </w:rPr>
              <w:lastRenderedPageBreak/>
              <w:t>opportunities for international visits and experience.</w:t>
            </w:r>
          </w:p>
        </w:tc>
      </w:tr>
      <w:tr w:rsidR="00C4000D" w:rsidRPr="00C4000D" w14:paraId="2E7E9B82" w14:textId="77777777" w:rsidTr="007935F1">
        <w:trPr>
          <w:trHeight w:val="1134"/>
        </w:trPr>
        <w:tc>
          <w:tcPr>
            <w:tcW w:w="2660" w:type="dxa"/>
            <w:shd w:val="clear" w:color="auto" w:fill="EEECE1"/>
            <w:vAlign w:val="center"/>
          </w:tcPr>
          <w:p w14:paraId="716FCB0C"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lastRenderedPageBreak/>
              <w:t>Learning facilities and resources</w:t>
            </w:r>
          </w:p>
        </w:tc>
        <w:tc>
          <w:tcPr>
            <w:tcW w:w="7194" w:type="dxa"/>
            <w:vAlign w:val="center"/>
          </w:tcPr>
          <w:p w14:paraId="68CD7E99" w14:textId="77777777" w:rsidR="00C4000D" w:rsidRPr="00C4000D" w:rsidRDefault="00C4000D" w:rsidP="00C4000D">
            <w:pPr>
              <w:numPr>
                <w:ilvl w:val="0"/>
                <w:numId w:val="19"/>
              </w:numPr>
              <w:tabs>
                <w:tab w:val="left" w:pos="1298"/>
                <w:tab w:val="left" w:pos="1701"/>
                <w:tab w:val="left" w:pos="1985"/>
              </w:tabs>
              <w:ind w:left="459" w:hanging="425"/>
              <w:jc w:val="both"/>
              <w:rPr>
                <w:rFonts w:ascii="Cambria" w:eastAsia="Cambria" w:hAnsi="Cambria" w:cs="Cambria"/>
                <w:lang w:eastAsia="lt-LT"/>
              </w:rPr>
            </w:pPr>
            <w:r w:rsidRPr="00C4000D">
              <w:rPr>
                <w:rFonts w:ascii="Cambria" w:eastAsia="Cambria" w:hAnsi="Cambria" w:cs="Cambria"/>
                <w:lang w:eastAsia="lt-LT"/>
              </w:rPr>
              <w:t>The University should ensure that students have access to catering outlets that provide healthy, low-cost food in areas where students are studying.</w:t>
            </w:r>
          </w:p>
        </w:tc>
      </w:tr>
      <w:tr w:rsidR="00C4000D" w:rsidRPr="00C4000D" w14:paraId="622A613D" w14:textId="77777777" w:rsidTr="007935F1">
        <w:trPr>
          <w:trHeight w:val="2494"/>
        </w:trPr>
        <w:tc>
          <w:tcPr>
            <w:tcW w:w="2660" w:type="dxa"/>
            <w:shd w:val="clear" w:color="auto" w:fill="EEECE1"/>
            <w:vAlign w:val="center"/>
          </w:tcPr>
          <w:p w14:paraId="4A20A198" w14:textId="77777777" w:rsidR="00C4000D" w:rsidRPr="00C4000D" w:rsidRDefault="00C4000D" w:rsidP="00C4000D">
            <w:pPr>
              <w:rPr>
                <w:rFonts w:ascii="Cambria" w:eastAsia="Cambria" w:hAnsi="Cambria" w:cs="Cambria"/>
                <w:color w:val="136C73"/>
                <w:lang w:eastAsia="lt-LT"/>
              </w:rPr>
            </w:pPr>
            <w:r w:rsidRPr="00C4000D">
              <w:rPr>
                <w:rFonts w:ascii="Cambria" w:eastAsia="Cambria" w:hAnsi="Cambria" w:cs="Cambria"/>
                <w:color w:val="136C73"/>
                <w:lang w:eastAsia="lt-LT"/>
              </w:rPr>
              <w:t>Study quality management and public information</w:t>
            </w:r>
          </w:p>
        </w:tc>
        <w:tc>
          <w:tcPr>
            <w:tcW w:w="7194" w:type="dxa"/>
            <w:vAlign w:val="center"/>
          </w:tcPr>
          <w:p w14:paraId="60E4161D" w14:textId="77777777" w:rsidR="00C4000D" w:rsidRPr="00C4000D" w:rsidRDefault="00C4000D" w:rsidP="00C4000D">
            <w:pPr>
              <w:numPr>
                <w:ilvl w:val="3"/>
                <w:numId w:val="19"/>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The student feedback about the courses, teaching methods and teachers are rather general currently and should be even more specific facilitating to focus more directly on the elements and courses, which need improvements in the study programme.</w:t>
            </w:r>
          </w:p>
          <w:p w14:paraId="293144D5" w14:textId="77777777" w:rsidR="00C4000D" w:rsidRPr="00C4000D" w:rsidRDefault="00C4000D" w:rsidP="00C4000D">
            <w:pPr>
              <w:numPr>
                <w:ilvl w:val="3"/>
                <w:numId w:val="19"/>
              </w:numPr>
              <w:spacing w:after="120"/>
              <w:ind w:left="459" w:hanging="425"/>
              <w:jc w:val="both"/>
              <w:rPr>
                <w:rFonts w:ascii="Cambria" w:eastAsia="Cambria" w:hAnsi="Cambria" w:cs="Cambria"/>
                <w:lang w:eastAsia="lt-LT"/>
              </w:rPr>
            </w:pPr>
            <w:r w:rsidRPr="00C4000D">
              <w:rPr>
                <w:rFonts w:ascii="Cambria" w:eastAsia="Cambria" w:hAnsi="Cambria" w:cs="Cambria"/>
                <w:lang w:eastAsia="lt-LT"/>
              </w:rPr>
              <w:t>The students’ participation in the feedback process seems not to be mandatory currently, and the question arises how HEI ensures that the most students are responding to the survey(s).</w:t>
            </w:r>
          </w:p>
        </w:tc>
      </w:tr>
    </w:tbl>
    <w:p w14:paraId="5505A3F0" w14:textId="6F368DEE" w:rsidR="00384F20" w:rsidRDefault="00384F20"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p>
    <w:p w14:paraId="1AEFD594" w14:textId="77777777" w:rsidR="00384F20" w:rsidRDefault="00384F20">
      <w:pPr>
        <w:spacing w:after="200" w:line="276" w:lineRule="auto"/>
        <w:rPr>
          <w:rFonts w:ascii="Cambria" w:hAnsi="Cambria"/>
          <w:b/>
          <w:bCs/>
          <w:caps/>
          <w:color w:val="136C73"/>
          <w:sz w:val="36"/>
          <w:szCs w:val="26"/>
          <w:lang w:val="lt-LT" w:eastAsia="lt-LT"/>
        </w:rPr>
      </w:pPr>
      <w:r>
        <w:rPr>
          <w:rFonts w:ascii="Cambria" w:hAnsi="Cambria"/>
          <w:b/>
          <w:bCs/>
          <w:caps/>
          <w:color w:val="136C73"/>
          <w:sz w:val="36"/>
          <w:szCs w:val="26"/>
          <w:lang w:val="lt-LT" w:eastAsia="lt-LT"/>
        </w:rPr>
        <w:br w:type="page"/>
      </w:r>
    </w:p>
    <w:p w14:paraId="7D34D75A" w14:textId="77777777" w:rsid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p>
    <w:p w14:paraId="274DB14A" w14:textId="0F5EAAD6" w:rsidR="00677F9A" w:rsidRPr="00677F9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677F9A">
        <w:rPr>
          <w:rFonts w:ascii="Cambria" w:hAnsi="Cambria"/>
          <w:b/>
          <w:bCs/>
          <w:caps/>
          <w:color w:val="136C73"/>
          <w:sz w:val="36"/>
          <w:szCs w:val="26"/>
          <w:lang w:val="lt-LT" w:eastAsia="lt-LT"/>
        </w:rPr>
        <w:t>V</w:t>
      </w:r>
      <w:r w:rsidR="004F4AC1">
        <w:rPr>
          <w:rFonts w:ascii="Cambria" w:hAnsi="Cambria"/>
          <w:b/>
          <w:bCs/>
          <w:caps/>
          <w:color w:val="136C73"/>
          <w:sz w:val="36"/>
          <w:szCs w:val="26"/>
          <w:lang w:val="lt-LT" w:eastAsia="lt-LT"/>
        </w:rPr>
        <w:t>I</w:t>
      </w:r>
      <w:r w:rsidRPr="00677F9A">
        <w:rPr>
          <w:rFonts w:ascii="Cambria" w:hAnsi="Cambria"/>
          <w:b/>
          <w:bCs/>
          <w:caps/>
          <w:color w:val="136C73"/>
          <w:sz w:val="36"/>
          <w:szCs w:val="26"/>
          <w:lang w:val="lt-LT" w:eastAsia="lt-LT"/>
        </w:rPr>
        <w:t>. SUMMARY</w:t>
      </w:r>
      <w:bookmarkEnd w:id="3"/>
    </w:p>
    <w:p w14:paraId="1E957390"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 following is a summary of the findings of the expert panel based on the Self-Evaluation Report (SER) and the interviews with the Vilnius Gediminas Technical University (hereafter referred to as Vilnius Tech, University) administration (senior management and faculty administration staff), staff responsible for the preparation of the SER, teaching staff and stakeholders (students, alumni, employers, social partners). The expert panel gives a positive evaluation to the implementation of the study field of Bioengineering, first cycle and second cycle, at Vilnius Gediminas Technical University with all areas assessed as good or very good.</w:t>
      </w:r>
    </w:p>
    <w:p w14:paraId="667F0D70"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There are two programmes of study taught at Vilnius Tech that fall within the Bioengineering field of study: the first cycle Biomechanics study programme (state code - 6121EX034) (hereafter referred to as the First Cycle programme) and the second cycle Biomedical Engineering study programme (state code - 6211EX032) (hereafter referred to as the Second Cycle programme). Both study programmes received high levels of praise from current students, alumni and employers. Bioengineering is a very wide and multi-disciplinary field and, whilst both programmes cover all the essential areas, it would be fair to say that both have a more biomechanics focus. Having said that, the title of the First Cycle programme ‘Biomechanics’ does not do the scope of the curriculum justice; ‘Biomedical Engineering’ would be more appropriate.</w:t>
      </w:r>
    </w:p>
    <w:p w14:paraId="33336F62"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Both First and Second Cycle study programmes address the social and economic need, within Lithuania and elsewhere, for Biomedical Engineers and have suitable curriculums to ensure that graduates are well prepared for working life.  Learning is delivered through a wide range of different activities. There are excellent links with industrial partners that are exploited throughout the programmes, but particularly in terms of research projects. The suitability of graduates for employment within the biomedical industry was praised by employers.  Currently, the First Cycle programme, which is taught largely in Lithuanian, does not prepare the students for careers outside Lithuania but there are plans to introduce an English language version soon.</w:t>
      </w:r>
    </w:p>
    <w:p w14:paraId="5744D971" w14:textId="505C19A3"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There is no doubt that the teaching staff keep up to date with developments within the field. Whilst research income is relatively low with only a subset of staff gaining awards, the majority of staff are research active and publish their work in national and international jour</w:t>
      </w:r>
      <w:r w:rsidR="004A106A">
        <w:rPr>
          <w:rFonts w:ascii="Cambria" w:eastAsia="Calibri" w:hAnsi="Cambria"/>
          <w:szCs w:val="22"/>
          <w:lang w:eastAsia="lt-LT"/>
        </w:rPr>
        <w:t xml:space="preserve">nals. As noted above, the staff </w:t>
      </w:r>
      <w:r w:rsidRPr="00C4000D">
        <w:rPr>
          <w:rFonts w:ascii="Cambria" w:eastAsia="Calibri" w:hAnsi="Cambria"/>
          <w:szCs w:val="22"/>
          <w:lang w:eastAsia="lt-LT"/>
        </w:rPr>
        <w:t>have excellent industrial links, and this cutting edge knowledge of commercial activity in the field is fed directly into the teaching.</w:t>
      </w:r>
    </w:p>
    <w:p w14:paraId="0756B1E6" w14:textId="470BAF02"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 xml:space="preserve">Student numbers are currently low for both First and Second Cycle programmes. There are many reasons for this including national trends in student recruitment and the effects of the COVID epidemic, however numbers are starting to reach critical levels. The University is highly supportive of both programmes and it is hoped that the new English language version of the First Cycle programme will provide access to a larger pool of potential recruits.  Once the students arrive at the University, they are looked after well. There is an excellent range of support activities and the University experience is enhanced by a wide range of sporting and social activities. However, there is a high drop-out rate, particularly from the First Cycle programme, that appears to be linked to students spending excessive amounts of time in paid employment. Neither the programmes nor the University are to blame for this situation, but it </w:t>
      </w:r>
      <w:r w:rsidRPr="00C4000D">
        <w:rPr>
          <w:rFonts w:ascii="Cambria" w:eastAsia="Calibri" w:hAnsi="Cambria"/>
          <w:szCs w:val="22"/>
          <w:lang w:eastAsia="lt-LT"/>
        </w:rPr>
        <w:lastRenderedPageBreak/>
        <w:t>may reflect the costs (and opportunities for employment) of Vilnius. The programmes take part in the Erasmus programme but, whilst there are a large number of incoming students, uptake of mobility opportunities is low.</w:t>
      </w:r>
    </w:p>
    <w:p w14:paraId="23F382F9"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As noted above, the employers of graduates from both First and Second Cycle programmes are highly complementary about their quality. In particular they spoke highly of the students’ ability and flexibility to learn new skills quickly, their self-confidence and communication skills and technical skills in finite element analysis, 3D printing and electronics. They felt that there was room for improvement in the development of reasoning and problem solving skills and a greater appreciation of the whole product life cycle (rather than just the design, regulation/adoption and manufacturing stages).</w:t>
      </w:r>
    </w:p>
    <w:p w14:paraId="4FF449B2"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 teaching staff are suitably qualified and enthusiastic and are appropriately deployed so that subjects are taught in appropriate class sizes throughout both programmes. There is good support for academic mobility and the Department of Biomechanical Engineering (hereafter referred to as the Department) has formed international partnerships with two Higher Education Institutions that have a significant impact on the diversity of teaching.</w:t>
      </w:r>
    </w:p>
    <w:p w14:paraId="69BC1731"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 teaching facilities are currently good, with both students and industrial partners praising the laboratory facilities. However, a new Faculty of Mechanics (hereafter referred to as the Faculty) building is nearing completion. Once the Department moves to its new location not only will the teaching infrastructure be improved and modernised, current issues with the physical separation of the Faculty building from the main University campus will be resolved.</w:t>
      </w:r>
    </w:p>
    <w:p w14:paraId="6FD2915C" w14:textId="4582D3FF"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 University, Faculty and Department implement a very good quality control and management regime. Student feedback is sought in a systematic manner and is incorporated into the review processes for both First and Second Cycle programmes. Likewise, the other stakeholders: teachers, employers and alumni are involved in the review process.</w:t>
      </w:r>
    </w:p>
    <w:p w14:paraId="7C1F5919" w14:textId="77777777"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 xml:space="preserve">In summary, both First and Second Cycle programmes are very good. They offer a supportive and varied student experience and deliver well qualified graduates with the skills needed for employment in the biomedical technology industry.  </w:t>
      </w:r>
    </w:p>
    <w:p w14:paraId="59AA1CD3" w14:textId="445D2C8C" w:rsidR="00C4000D" w:rsidRPr="00C4000D" w:rsidRDefault="00C4000D" w:rsidP="00281F32">
      <w:pPr>
        <w:spacing w:after="200" w:line="276" w:lineRule="auto"/>
        <w:ind w:firstLine="426"/>
        <w:jc w:val="both"/>
        <w:rPr>
          <w:rFonts w:ascii="Cambria" w:eastAsia="Calibri" w:hAnsi="Cambria"/>
          <w:szCs w:val="22"/>
          <w:lang w:eastAsia="lt-LT"/>
        </w:rPr>
      </w:pPr>
      <w:r w:rsidRPr="00C4000D">
        <w:rPr>
          <w:rFonts w:ascii="Cambria" w:eastAsia="Calibri" w:hAnsi="Cambria"/>
          <w:szCs w:val="22"/>
          <w:lang w:eastAsia="lt-LT"/>
        </w:rPr>
        <w:t>The Expert Panel would like to express their thanks to the staff at Vilnius Tech who provided the information required for their review under difficult conditions. Similarly, the Expert Panel would like to thank the students, alumni and employers for giving up their time to talk to them. The Expert Panel very much regret that they were not able to visit in person on this occasion and greatly appreciate the flexibility shown by all to deliver a ‘virtual visit’.</w:t>
      </w:r>
    </w:p>
    <w:p w14:paraId="6A97363A" w14:textId="77777777" w:rsidR="00677F9A" w:rsidRPr="00677F9A" w:rsidRDefault="00677F9A" w:rsidP="00281F32">
      <w:pPr>
        <w:spacing w:after="200" w:line="276" w:lineRule="auto"/>
        <w:ind w:firstLine="426"/>
        <w:jc w:val="center"/>
        <w:rPr>
          <w:rFonts w:ascii="Cambria" w:eastAsia="Calibri" w:hAnsi="Cambria"/>
          <w:szCs w:val="22"/>
          <w:highlight w:val="lightGray"/>
          <w:lang w:eastAsia="lt-LT"/>
        </w:rPr>
      </w:pPr>
    </w:p>
    <w:p w14:paraId="6FC4C845" w14:textId="77777777" w:rsidR="00677F9A" w:rsidRPr="0042467A" w:rsidRDefault="00677F9A" w:rsidP="00281F32">
      <w:pPr>
        <w:jc w:val="center"/>
        <w:rPr>
          <w:lang w:val="lt-LT"/>
        </w:rPr>
      </w:pPr>
      <w:r w:rsidRPr="0042467A">
        <w:rPr>
          <w:lang w:val="lt-LT"/>
        </w:rPr>
        <w:t>_______________</w:t>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t>_____________</w:t>
      </w:r>
    </w:p>
    <w:p w14:paraId="4518365F" w14:textId="77777777" w:rsidR="00677F9A" w:rsidRDefault="00677F9A" w:rsidP="00677F9A">
      <w:pPr>
        <w:spacing w:after="200" w:line="276" w:lineRule="auto"/>
        <w:jc w:val="both"/>
        <w:rPr>
          <w:rFonts w:ascii="Cambria" w:eastAsia="Calibri" w:hAnsi="Cambria"/>
          <w:color w:val="000000"/>
          <w:szCs w:val="22"/>
          <w:lang w:eastAsia="lt-LT"/>
        </w:rPr>
      </w:pPr>
    </w:p>
    <w:p w14:paraId="07E96677" w14:textId="43BCD444" w:rsidR="009B1A04" w:rsidRPr="00677F9A" w:rsidRDefault="009B1A04" w:rsidP="00677F9A">
      <w:pPr>
        <w:spacing w:after="200" w:line="276" w:lineRule="auto"/>
        <w:rPr>
          <w:rFonts w:ascii="Cambria" w:eastAsia="Calibri" w:hAnsi="Cambria"/>
          <w:b/>
          <w:bCs/>
          <w:color w:val="800000"/>
          <w:szCs w:val="22"/>
          <w:lang w:val="lt-LT" w:eastAsia="lt-LT"/>
        </w:rPr>
      </w:pPr>
      <w:bookmarkStart w:id="4" w:name="_4._GENERAL_ASSESSMENT"/>
      <w:bookmarkEnd w:id="4"/>
    </w:p>
    <w:p w14:paraId="4900E411" w14:textId="77777777" w:rsidR="00C4000D" w:rsidRDefault="00C4000D" w:rsidP="0042467A">
      <w:pPr>
        <w:jc w:val="right"/>
        <w:rPr>
          <w:b/>
          <w:lang w:val="lt-LT"/>
        </w:rPr>
      </w:pPr>
    </w:p>
    <w:p w14:paraId="423A4781" w14:textId="77777777" w:rsidR="00C4000D" w:rsidRDefault="00C4000D" w:rsidP="0042467A">
      <w:pPr>
        <w:jc w:val="right"/>
        <w:rPr>
          <w:b/>
          <w:lang w:val="lt-LT"/>
        </w:rPr>
      </w:pPr>
    </w:p>
    <w:p w14:paraId="50D5E5D8" w14:textId="77777777" w:rsidR="00C4000D" w:rsidRDefault="00C4000D" w:rsidP="0042467A">
      <w:pPr>
        <w:jc w:val="right"/>
        <w:rPr>
          <w:b/>
          <w:lang w:val="lt-LT"/>
        </w:rPr>
      </w:pPr>
    </w:p>
    <w:p w14:paraId="38DF8256" w14:textId="77777777" w:rsidR="00C4000D" w:rsidRDefault="00C4000D" w:rsidP="0042467A">
      <w:pPr>
        <w:jc w:val="right"/>
        <w:rPr>
          <w:b/>
          <w:lang w:val="lt-LT"/>
        </w:rPr>
      </w:pPr>
    </w:p>
    <w:p w14:paraId="7197E22C" w14:textId="77777777" w:rsidR="00C4000D" w:rsidRDefault="00C4000D" w:rsidP="0042467A">
      <w:pPr>
        <w:jc w:val="right"/>
        <w:rPr>
          <w:b/>
          <w:lang w:val="lt-LT"/>
        </w:rPr>
      </w:pPr>
    </w:p>
    <w:p w14:paraId="6ACCB661" w14:textId="77777777" w:rsidR="00C4000D" w:rsidRDefault="00C4000D" w:rsidP="0042467A">
      <w:pPr>
        <w:jc w:val="right"/>
        <w:rPr>
          <w:b/>
          <w:lang w:val="lt-LT"/>
        </w:rPr>
      </w:pPr>
    </w:p>
    <w:p w14:paraId="4A7DA5F1" w14:textId="77777777" w:rsidR="00C4000D" w:rsidRDefault="00C4000D" w:rsidP="0042467A">
      <w:pPr>
        <w:jc w:val="right"/>
        <w:rPr>
          <w:b/>
          <w:lang w:val="lt-LT"/>
        </w:rPr>
      </w:pPr>
    </w:p>
    <w:p w14:paraId="5153EE62" w14:textId="77777777" w:rsidR="00C4000D" w:rsidRDefault="00C4000D" w:rsidP="0042467A">
      <w:pPr>
        <w:jc w:val="right"/>
        <w:rPr>
          <w:b/>
          <w:lang w:val="lt-LT"/>
        </w:rPr>
      </w:pPr>
    </w:p>
    <w:p w14:paraId="07E96679" w14:textId="77777777" w:rsidR="0042467A" w:rsidRPr="00C5787E" w:rsidRDefault="0042467A" w:rsidP="0042467A">
      <w:pPr>
        <w:jc w:val="right"/>
        <w:rPr>
          <w:lang w:val="lt-LT"/>
        </w:rPr>
      </w:pPr>
      <w:r w:rsidRPr="00C5787E">
        <w:rPr>
          <w:b/>
          <w:lang w:val="lt-LT"/>
        </w:rPr>
        <w:t>Vertimas iš anglų kalbos</w:t>
      </w:r>
    </w:p>
    <w:p w14:paraId="07E9667A" w14:textId="77777777" w:rsidR="0042467A" w:rsidRPr="00C5787E" w:rsidRDefault="0042467A" w:rsidP="0042467A">
      <w:pPr>
        <w:jc w:val="center"/>
        <w:rPr>
          <w:b/>
          <w:caps/>
          <w:lang w:val="lt-LT"/>
        </w:rPr>
      </w:pPr>
    </w:p>
    <w:p w14:paraId="07E9667B" w14:textId="3C66E53A" w:rsidR="0042467A" w:rsidRPr="00C5787E" w:rsidRDefault="00C4000D" w:rsidP="0042467A">
      <w:pPr>
        <w:jc w:val="center"/>
        <w:rPr>
          <w:b/>
          <w:caps/>
          <w:lang w:val="lt-LT"/>
        </w:rPr>
      </w:pPr>
      <w:r>
        <w:rPr>
          <w:b/>
          <w:caps/>
          <w:lang w:val="lt-LT"/>
        </w:rPr>
        <w:t xml:space="preserve">Vilniaus Gedimino technikos universiteto Bioinžinerijos </w:t>
      </w:r>
      <w:r w:rsidR="00677F9A">
        <w:rPr>
          <w:b/>
          <w:caps/>
          <w:lang w:val="lt-LT"/>
        </w:rPr>
        <w:t>krypties</w:t>
      </w:r>
      <w:r w:rsidR="0042467A" w:rsidRPr="00C5787E">
        <w:rPr>
          <w:b/>
          <w:caps/>
          <w:lang w:val="lt-LT"/>
        </w:rPr>
        <w:t xml:space="preserve"> studijų</w:t>
      </w:r>
      <w:r>
        <w:rPr>
          <w:b/>
          <w:caps/>
          <w:lang w:val="lt-LT"/>
        </w:rPr>
        <w:t xml:space="preserve"> liepos 1 d.</w:t>
      </w:r>
      <w:r w:rsidR="00677F9A">
        <w:rPr>
          <w:b/>
          <w:caps/>
          <w:lang w:val="lt-LT"/>
        </w:rPr>
        <w:t xml:space="preserve"> </w:t>
      </w:r>
      <w:r w:rsidR="0042467A" w:rsidRPr="00C5787E">
        <w:rPr>
          <w:b/>
          <w:caps/>
          <w:lang w:val="lt-LT"/>
        </w:rPr>
        <w:t xml:space="preserve">ekspertinio vertinimo išvadų NR. </w:t>
      </w:r>
      <w:r>
        <w:rPr>
          <w:b/>
          <w:lang w:val="lt-LT"/>
        </w:rPr>
        <w:t>SV-56</w:t>
      </w:r>
      <w:r w:rsidR="00677F9A">
        <w:rPr>
          <w:b/>
          <w:lang w:val="lt-LT"/>
        </w:rPr>
        <w:t xml:space="preserve"> </w:t>
      </w:r>
      <w:r w:rsidR="0042467A" w:rsidRPr="00C5787E">
        <w:rPr>
          <w:b/>
          <w:caps/>
          <w:lang w:val="lt-LT"/>
        </w:rPr>
        <w:t>IŠRAŠAS</w:t>
      </w:r>
    </w:p>
    <w:p w14:paraId="07E9667C" w14:textId="77777777" w:rsidR="0042467A" w:rsidRDefault="0042467A" w:rsidP="0042467A">
      <w:pPr>
        <w:rPr>
          <w:caps/>
          <w:sz w:val="16"/>
          <w:lang w:val="lt-LT"/>
        </w:rPr>
      </w:pPr>
    </w:p>
    <w:p w14:paraId="7DE15AD0" w14:textId="77777777" w:rsidR="00384F20" w:rsidRDefault="00384F20" w:rsidP="0042467A">
      <w:pPr>
        <w:rPr>
          <w:caps/>
          <w:sz w:val="16"/>
          <w:lang w:val="lt-LT"/>
        </w:rPr>
      </w:pPr>
    </w:p>
    <w:p w14:paraId="4965EBC7" w14:textId="77777777" w:rsidR="00384F20" w:rsidRDefault="00384F20" w:rsidP="0042467A">
      <w:pPr>
        <w:rPr>
          <w:caps/>
          <w:sz w:val="16"/>
          <w:lang w:val="lt-LT"/>
        </w:rPr>
      </w:pPr>
    </w:p>
    <w:p w14:paraId="661301D7" w14:textId="77777777" w:rsidR="00384F20" w:rsidRPr="0042467A" w:rsidRDefault="00384F20" w:rsidP="0042467A">
      <w:pPr>
        <w:rPr>
          <w:caps/>
          <w:sz w:val="16"/>
          <w:lang w:val="lt-LT"/>
        </w:rPr>
      </w:pPr>
    </w:p>
    <w:p w14:paraId="42397AC2" w14:textId="77777777" w:rsidR="00677F9A" w:rsidRPr="00677F9A" w:rsidRDefault="00677F9A" w:rsidP="00677F9A">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val="lt-LT" w:eastAsia="lt-LT"/>
        </w:rPr>
        <w:drawing>
          <wp:inline distT="0" distB="0" distL="0" distR="0" wp14:anchorId="264D2779" wp14:editId="78F0249F">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32272FA1" w14:textId="77777777" w:rsidR="00677F9A" w:rsidRPr="00677F9A" w:rsidRDefault="00677F9A" w:rsidP="00677F9A">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245B1473" w14:textId="77777777" w:rsidR="00677F9A" w:rsidRPr="00677F9A" w:rsidRDefault="00677F9A" w:rsidP="00677F9A">
      <w:pPr>
        <w:spacing w:after="200"/>
        <w:rPr>
          <w:rFonts w:ascii="Cambria" w:eastAsia="Calibri" w:hAnsi="Cambria"/>
          <w:color w:val="136C73"/>
          <w:szCs w:val="22"/>
          <w:lang w:val="lt-LT" w:eastAsia="lt-LT"/>
        </w:rPr>
      </w:pPr>
    </w:p>
    <w:p w14:paraId="552C34E7" w14:textId="1EECFCA9" w:rsidR="00677F9A" w:rsidRPr="00677F9A" w:rsidRDefault="00C4000D" w:rsidP="00677F9A">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VILNIAUS GEDIMINIO TECHNIKOS UNIVERSITETO</w:t>
      </w:r>
    </w:p>
    <w:p w14:paraId="1BF65371" w14:textId="79D2CEB5" w:rsidR="00677F9A" w:rsidRPr="00677F9A" w:rsidRDefault="000F20ED" w:rsidP="00677F9A">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BIOINŽINERIJOS</w:t>
      </w:r>
      <w:r w:rsidRPr="00677F9A">
        <w:rPr>
          <w:rFonts w:ascii="Cambria" w:eastAsia="Calibri" w:hAnsi="Cambria"/>
          <w:b/>
          <w:color w:val="136C73"/>
          <w:sz w:val="28"/>
          <w:szCs w:val="28"/>
          <w:lang w:val="lt-LT" w:eastAsia="lt-LT"/>
        </w:rPr>
        <w:t xml:space="preserve"> KRYPTI</w:t>
      </w:r>
      <w:r>
        <w:rPr>
          <w:rFonts w:ascii="Cambria" w:eastAsia="Calibri" w:hAnsi="Cambria"/>
          <w:b/>
          <w:color w:val="136C73"/>
          <w:sz w:val="28"/>
          <w:szCs w:val="28"/>
          <w:lang w:val="lt-LT" w:eastAsia="lt-LT"/>
        </w:rPr>
        <w:t>E</w:t>
      </w:r>
      <w:r w:rsidRPr="00677F9A">
        <w:rPr>
          <w:rFonts w:ascii="Cambria" w:eastAsia="Calibri" w:hAnsi="Cambria"/>
          <w:b/>
          <w:color w:val="136C73"/>
          <w:sz w:val="28"/>
          <w:szCs w:val="28"/>
          <w:lang w:val="lt-LT" w:eastAsia="lt-LT"/>
        </w:rPr>
        <w:t xml:space="preserve">S </w:t>
      </w:r>
      <w:r w:rsidR="00677F9A" w:rsidRPr="00677F9A">
        <w:rPr>
          <w:rFonts w:ascii="Cambria" w:eastAsia="Calibri" w:hAnsi="Cambria"/>
          <w:b/>
          <w:color w:val="136C73"/>
          <w:sz w:val="28"/>
          <w:szCs w:val="28"/>
          <w:lang w:val="lt-LT" w:eastAsia="lt-LT"/>
        </w:rPr>
        <w:t xml:space="preserve">STUDIJŲ </w:t>
      </w:r>
    </w:p>
    <w:p w14:paraId="53EBE181" w14:textId="77777777" w:rsidR="00677F9A" w:rsidRPr="00677F9A" w:rsidRDefault="00677F9A" w:rsidP="00677F9A">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1B36E855" w14:textId="77777777" w:rsidR="00677F9A" w:rsidRPr="00677F9A" w:rsidRDefault="00677F9A" w:rsidP="00677F9A">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23C9B7FF" w14:textId="77777777" w:rsidTr="00384F20">
        <w:trPr>
          <w:trHeight w:val="3573"/>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247BCFE2"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CE2E41F" w14:textId="77840E19" w:rsidR="00677F9A" w:rsidRPr="00677F9A" w:rsidRDefault="00F04C4A" w:rsidP="00C4000D">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1. </w:t>
            </w:r>
            <w:r w:rsidR="00C4000D" w:rsidRPr="00C4000D">
              <w:rPr>
                <w:rFonts w:ascii="Cambria" w:eastAsia="Calibri" w:hAnsi="Cambria"/>
                <w:b/>
                <w:color w:val="FFFFFF"/>
                <w:szCs w:val="22"/>
                <w:lang w:val="lt-LT" w:eastAsia="lt-LT"/>
              </w:rPr>
              <w:t xml:space="preserve">Prof. Dr. Donal McNally </w:t>
            </w:r>
            <w:r w:rsidR="004A106A">
              <w:rPr>
                <w:rFonts w:ascii="Cambria" w:eastAsia="Calibri" w:hAnsi="Cambria"/>
                <w:b/>
                <w:color w:val="FFFFFF"/>
                <w:szCs w:val="22"/>
                <w:lang w:val="lt-LT" w:eastAsia="lt-LT"/>
              </w:rPr>
              <w:t xml:space="preserve">(vadovas), </w:t>
            </w:r>
            <w:r w:rsidR="00677F9A" w:rsidRPr="00677F9A">
              <w:rPr>
                <w:rFonts w:ascii="Cambria" w:eastAsia="Calibri" w:hAnsi="Cambria"/>
                <w:i/>
                <w:color w:val="FFFFFF"/>
                <w:szCs w:val="22"/>
                <w:lang w:val="lt-LT" w:eastAsia="lt-LT"/>
              </w:rPr>
              <w:t>akademinės bendruomenės atstovas,</w:t>
            </w:r>
          </w:p>
          <w:p w14:paraId="67565CFD" w14:textId="0155051D" w:rsidR="00677F9A" w:rsidRPr="00677F9A" w:rsidRDefault="00F04C4A" w:rsidP="00F04C4A">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2. </w:t>
            </w:r>
            <w:r w:rsidRPr="00F04C4A">
              <w:rPr>
                <w:rFonts w:ascii="Cambria" w:eastAsia="Calibri" w:hAnsi="Cambria"/>
                <w:b/>
                <w:color w:val="FFFFFF"/>
                <w:szCs w:val="22"/>
                <w:lang w:val="lt-LT" w:eastAsia="lt-LT"/>
              </w:rPr>
              <w:t>Prof. Dr. Ivo Fridolin</w:t>
            </w:r>
            <w:r w:rsidR="00677F9A" w:rsidRPr="00677F9A">
              <w:rPr>
                <w:rFonts w:ascii="Cambria" w:eastAsia="Calibri" w:hAnsi="Cambria"/>
                <w:b/>
                <w:color w:val="FFFFFF"/>
                <w:szCs w:val="22"/>
                <w:lang w:val="lt-LT" w:eastAsia="lt-LT"/>
              </w:rPr>
              <w:t>,</w:t>
            </w:r>
            <w:r w:rsidR="00677F9A" w:rsidRPr="00677F9A">
              <w:rPr>
                <w:rFonts w:ascii="Cambria" w:eastAsia="Calibri" w:hAnsi="Cambria"/>
                <w:i/>
                <w:color w:val="FFFFFF"/>
                <w:szCs w:val="22"/>
                <w:lang w:val="lt-LT" w:eastAsia="lt-LT"/>
              </w:rPr>
              <w:t xml:space="preserve"> akademinės bendruomenės atstovas,</w:t>
            </w:r>
          </w:p>
          <w:p w14:paraId="773A4D0B" w14:textId="7B01B1C3" w:rsidR="00677F9A" w:rsidRPr="00677F9A" w:rsidRDefault="00F04C4A" w:rsidP="00F04C4A">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3. </w:t>
            </w:r>
            <w:r w:rsidRPr="00F04C4A">
              <w:rPr>
                <w:rFonts w:ascii="Cambria" w:eastAsia="Calibri" w:hAnsi="Cambria"/>
                <w:b/>
                <w:color w:val="FFFFFF"/>
                <w:szCs w:val="22"/>
                <w:lang w:val="lt-LT" w:eastAsia="lt-LT"/>
              </w:rPr>
              <w:t>Dr.  Frida Sandberg</w:t>
            </w:r>
            <w:r w:rsidR="00677F9A" w:rsidRPr="00677F9A">
              <w:rPr>
                <w:rFonts w:ascii="Cambria" w:eastAsia="Calibri" w:hAnsi="Cambria"/>
                <w:b/>
                <w:color w:val="FFFFFF"/>
                <w:szCs w:val="22"/>
                <w:lang w:val="lt-LT" w:eastAsia="lt-LT"/>
              </w:rPr>
              <w:t>,</w:t>
            </w:r>
            <w:r w:rsidR="00677F9A" w:rsidRPr="00677F9A">
              <w:rPr>
                <w:rFonts w:ascii="Cambria" w:eastAsia="Calibri" w:hAnsi="Cambria"/>
                <w:i/>
                <w:color w:val="FFFFFF"/>
                <w:szCs w:val="22"/>
                <w:lang w:val="lt-LT" w:eastAsia="lt-LT"/>
              </w:rPr>
              <w:t xml:space="preserve"> akademinės bendruomenės atstov</w:t>
            </w:r>
            <w:r w:rsidR="00E461AF">
              <w:rPr>
                <w:rFonts w:ascii="Cambria" w:eastAsia="Calibri" w:hAnsi="Cambria"/>
                <w:i/>
                <w:color w:val="FFFFFF"/>
                <w:szCs w:val="22"/>
                <w:lang w:val="lt-LT" w:eastAsia="lt-LT"/>
              </w:rPr>
              <w:t>ė</w:t>
            </w:r>
            <w:r w:rsidR="00677F9A" w:rsidRPr="00677F9A">
              <w:rPr>
                <w:rFonts w:ascii="Cambria" w:eastAsia="Calibri" w:hAnsi="Cambria"/>
                <w:i/>
                <w:color w:val="FFFFFF"/>
                <w:szCs w:val="22"/>
                <w:lang w:val="lt-LT" w:eastAsia="lt-LT"/>
              </w:rPr>
              <w:t>,</w:t>
            </w:r>
          </w:p>
          <w:p w14:paraId="359085F3" w14:textId="1FF3504C" w:rsidR="00677F9A" w:rsidRPr="00677F9A" w:rsidRDefault="00F04C4A" w:rsidP="00F04C4A">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4. </w:t>
            </w:r>
            <w:r w:rsidRPr="00F04C4A">
              <w:rPr>
                <w:rFonts w:ascii="Cambria" w:eastAsia="Calibri" w:hAnsi="Cambria"/>
                <w:b/>
                <w:color w:val="FFFFFF"/>
                <w:szCs w:val="22"/>
                <w:lang w:val="lt-LT" w:eastAsia="lt-LT"/>
              </w:rPr>
              <w:t>Dr. Justina Rukšnaitė</w:t>
            </w:r>
            <w:r w:rsidR="00677F9A" w:rsidRPr="00677F9A">
              <w:rPr>
                <w:rFonts w:ascii="Cambria" w:eastAsia="Calibri" w:hAnsi="Cambria"/>
                <w:b/>
                <w:color w:val="FFFFFF"/>
                <w:szCs w:val="22"/>
                <w:lang w:val="lt-LT" w:eastAsia="lt-LT"/>
              </w:rPr>
              <w:t xml:space="preserve">, </w:t>
            </w:r>
            <w:r w:rsidR="00677F9A" w:rsidRPr="00677F9A">
              <w:rPr>
                <w:rFonts w:ascii="Cambria" w:eastAsia="Calibri" w:hAnsi="Cambria"/>
                <w:i/>
                <w:color w:val="FFFFFF"/>
                <w:szCs w:val="22"/>
                <w:lang w:val="lt-LT" w:eastAsia="lt-LT"/>
              </w:rPr>
              <w:t>darbdavių atstov</w:t>
            </w:r>
            <w:r w:rsidR="00E461AF">
              <w:rPr>
                <w:rFonts w:ascii="Cambria" w:eastAsia="Calibri" w:hAnsi="Cambria"/>
                <w:i/>
                <w:color w:val="FFFFFF"/>
                <w:szCs w:val="22"/>
                <w:lang w:val="lt-LT" w:eastAsia="lt-LT"/>
              </w:rPr>
              <w:t>ė</w:t>
            </w:r>
            <w:r w:rsidR="00677F9A" w:rsidRPr="00677F9A">
              <w:rPr>
                <w:rFonts w:ascii="Cambria" w:eastAsia="Calibri" w:hAnsi="Cambria"/>
                <w:i/>
                <w:color w:val="FFFFFF"/>
                <w:szCs w:val="22"/>
                <w:lang w:val="lt-LT" w:eastAsia="lt-LT"/>
              </w:rPr>
              <w:t xml:space="preserve">, </w:t>
            </w:r>
          </w:p>
          <w:p w14:paraId="046F8982" w14:textId="023A7910" w:rsidR="00677F9A" w:rsidRPr="00677F9A" w:rsidRDefault="00F04C4A" w:rsidP="00F04C4A">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5. </w:t>
            </w:r>
            <w:r w:rsidRPr="00F04C4A">
              <w:rPr>
                <w:rFonts w:ascii="Cambria" w:eastAsia="Calibri" w:hAnsi="Cambria"/>
                <w:b/>
                <w:color w:val="FFFFFF"/>
                <w:szCs w:val="22"/>
                <w:lang w:val="lt-LT" w:eastAsia="lt-LT"/>
              </w:rPr>
              <w:t>Dominykas Budrys</w:t>
            </w:r>
            <w:r w:rsidR="00677F9A" w:rsidRPr="00677F9A">
              <w:rPr>
                <w:rFonts w:ascii="Cambria" w:eastAsia="Calibri" w:hAnsi="Cambria"/>
                <w:b/>
                <w:color w:val="FFFFFF"/>
                <w:szCs w:val="22"/>
                <w:lang w:val="lt-LT" w:eastAsia="lt-LT"/>
              </w:rPr>
              <w:t xml:space="preserve">, </w:t>
            </w:r>
            <w:r w:rsidR="00677F9A" w:rsidRPr="00677F9A">
              <w:rPr>
                <w:rFonts w:ascii="Cambria" w:eastAsia="Calibri" w:hAnsi="Cambria"/>
                <w:i/>
                <w:color w:val="FFFFFF"/>
                <w:szCs w:val="22"/>
                <w:lang w:val="lt-LT" w:eastAsia="lt-LT"/>
              </w:rPr>
              <w:t>student</w:t>
            </w:r>
            <w:r w:rsidR="000D4EE3">
              <w:rPr>
                <w:rFonts w:ascii="Cambria" w:eastAsia="Calibri" w:hAnsi="Cambria"/>
                <w:i/>
                <w:color w:val="FFFFFF"/>
                <w:szCs w:val="22"/>
                <w:lang w:val="lt-LT" w:eastAsia="lt-LT"/>
              </w:rPr>
              <w:t>ų</w:t>
            </w:r>
            <w:r w:rsidR="00677F9A" w:rsidRPr="00677F9A">
              <w:rPr>
                <w:rFonts w:ascii="Cambria" w:eastAsia="Calibri" w:hAnsi="Cambria"/>
                <w:i/>
                <w:color w:val="FFFFFF"/>
                <w:szCs w:val="22"/>
                <w:lang w:val="lt-LT" w:eastAsia="lt-LT"/>
              </w:rPr>
              <w:t xml:space="preserve"> atstovas</w:t>
            </w:r>
            <w:r w:rsidR="00677F9A" w:rsidRPr="00677F9A">
              <w:rPr>
                <w:rFonts w:ascii="Cambria" w:eastAsia="Calibri" w:hAnsi="Cambria"/>
                <w:color w:val="FFFFFF"/>
                <w:szCs w:val="22"/>
                <w:lang w:val="lt-LT" w:eastAsia="lt-LT"/>
              </w:rPr>
              <w:t>.</w:t>
            </w:r>
          </w:p>
          <w:p w14:paraId="45FAE59E"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p>
          <w:p w14:paraId="696005C1" w14:textId="0EB2D8B5" w:rsidR="00677F9A" w:rsidRPr="00677F9A" w:rsidRDefault="00677F9A" w:rsidP="00384F20">
            <w:pPr>
              <w:tabs>
                <w:tab w:val="left" w:pos="0"/>
              </w:tabs>
              <w:spacing w:line="276" w:lineRule="auto"/>
              <w:rPr>
                <w:rFonts w:ascii="Cambria" w:eastAsia="Calibri" w:hAnsi="Cambria"/>
                <w:b/>
                <w:i/>
                <w:color w:val="571C1F"/>
                <w:szCs w:val="22"/>
                <w:lang w:val="lt-LT" w:eastAsia="lt-LT"/>
              </w:rPr>
            </w:pPr>
            <w:r w:rsidRPr="00677F9A">
              <w:rPr>
                <w:rFonts w:ascii="Cambria" w:eastAsia="Calibri" w:hAnsi="Cambria"/>
                <w:b/>
                <w:color w:val="FFFFFF"/>
                <w:szCs w:val="22"/>
                <w:lang w:val="lt-LT" w:eastAsia="lt-LT"/>
              </w:rPr>
              <w:t xml:space="preserve">Vertinimo koordinatorė </w:t>
            </w:r>
            <w:r w:rsidR="00384F20">
              <w:rPr>
                <w:rFonts w:ascii="Cambria" w:eastAsia="Calibri" w:hAnsi="Cambria"/>
                <w:b/>
                <w:color w:val="FFFFFF"/>
                <w:szCs w:val="22"/>
                <w:lang w:val="lt-LT" w:eastAsia="lt-LT"/>
              </w:rPr>
              <w:t xml:space="preserve">- </w:t>
            </w:r>
            <w:r w:rsidR="00F04C4A" w:rsidRPr="00F04C4A">
              <w:rPr>
                <w:rFonts w:ascii="Cambria" w:eastAsia="Calibri" w:hAnsi="Cambria"/>
                <w:b/>
                <w:i/>
                <w:color w:val="FFFFFF"/>
                <w:szCs w:val="22"/>
                <w:lang w:val="lt-LT" w:eastAsia="lt-LT"/>
              </w:rPr>
              <w:t>Evelina Keturakytė</w:t>
            </w:r>
          </w:p>
        </w:tc>
      </w:tr>
    </w:tbl>
    <w:p w14:paraId="0CA48749" w14:textId="77777777" w:rsidR="00677F9A" w:rsidRPr="00677F9A" w:rsidRDefault="00677F9A" w:rsidP="00677F9A">
      <w:pPr>
        <w:rPr>
          <w:rFonts w:ascii="Calibri" w:eastAsia="Calibri" w:hAnsi="Calibri"/>
          <w:sz w:val="22"/>
          <w:szCs w:val="22"/>
          <w:lang w:val="lt-LT" w:eastAsia="lt-LT"/>
        </w:rPr>
      </w:pPr>
    </w:p>
    <w:p w14:paraId="2164EFF9" w14:textId="77777777" w:rsidR="000D4EE3" w:rsidRDefault="000D4EE3" w:rsidP="00677F9A">
      <w:pPr>
        <w:rPr>
          <w:rFonts w:ascii="Calibri" w:eastAsia="Calibri" w:hAnsi="Calibri"/>
          <w:sz w:val="22"/>
          <w:szCs w:val="22"/>
          <w:lang w:val="lt-LT" w:eastAsia="lt-LT"/>
        </w:rPr>
      </w:pPr>
    </w:p>
    <w:p w14:paraId="3856EC5D" w14:textId="77777777" w:rsidR="000D4EE3" w:rsidRDefault="000D4EE3" w:rsidP="00677F9A">
      <w:pPr>
        <w:rPr>
          <w:rFonts w:ascii="Calibri" w:eastAsia="Calibri" w:hAnsi="Calibri"/>
          <w:sz w:val="22"/>
          <w:szCs w:val="22"/>
          <w:lang w:val="lt-LT" w:eastAsia="lt-LT"/>
        </w:rPr>
      </w:pPr>
    </w:p>
    <w:p w14:paraId="1EE6A03D"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109DF7CA" w14:textId="025710EF"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sidR="000550AD">
        <w:rPr>
          <w:rFonts w:asciiTheme="majorHAnsi" w:eastAsia="Calibri" w:hAnsiTheme="majorHAnsi" w:cstheme="minorHAnsi"/>
          <w:color w:val="136C73"/>
          <w:lang w:val="lt-LT"/>
        </w:rPr>
        <w:t xml:space="preserve">  UAB ,,Pasaulio spalvos</w:t>
      </w:r>
      <w:r w:rsidR="00BC7225">
        <w:rPr>
          <w:rFonts w:asciiTheme="majorHAnsi" w:eastAsia="Calibri" w:hAnsiTheme="majorHAnsi" w:cstheme="minorHAnsi"/>
          <w:color w:val="136C73"/>
          <w:lang w:val="lt-LT"/>
        </w:rPr>
        <w:t>“</w:t>
      </w:r>
    </w:p>
    <w:p w14:paraId="1737B9A1" w14:textId="77777777" w:rsidR="00677F9A" w:rsidRPr="0060015D" w:rsidRDefault="00677F9A" w:rsidP="00677F9A">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60015D" w14:paraId="5B0FBE82" w14:textId="77777777" w:rsidTr="007935F1">
        <w:tc>
          <w:tcPr>
            <w:tcW w:w="460" w:type="dxa"/>
            <w:shd w:val="clear" w:color="auto" w:fill="auto"/>
            <w:vAlign w:val="center"/>
          </w:tcPr>
          <w:p w14:paraId="4FD926A3"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58AC0A30"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07E9667D" w14:textId="30D6F3C1" w:rsidR="0042467A" w:rsidRDefault="0042467A" w:rsidP="0042467A">
      <w:pPr>
        <w:rPr>
          <w:caps/>
          <w:lang w:val="lt-LT"/>
        </w:rPr>
      </w:pPr>
    </w:p>
    <w:p w14:paraId="07E9667E" w14:textId="77777777" w:rsidR="0042467A" w:rsidRPr="00C5787E" w:rsidRDefault="0042467A" w:rsidP="0042467A">
      <w:pPr>
        <w:rPr>
          <w:caps/>
          <w:lang w:val="lt-LT"/>
        </w:rPr>
      </w:pPr>
    </w:p>
    <w:p w14:paraId="7FF82867" w14:textId="77777777" w:rsidR="001639F1" w:rsidRDefault="001639F1" w:rsidP="006D1CFD">
      <w:pPr>
        <w:spacing w:line="276" w:lineRule="auto"/>
        <w:jc w:val="center"/>
        <w:rPr>
          <w:rFonts w:ascii="Cambria" w:eastAsia="Calibri" w:hAnsi="Cambria"/>
          <w:color w:val="136C73"/>
          <w:lang w:val="lt-LT"/>
        </w:rPr>
      </w:pPr>
    </w:p>
    <w:p w14:paraId="11B0657C" w14:textId="4FD89A2C" w:rsidR="006D1CFD" w:rsidRP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1532905A" w14:textId="1BA6ED25" w:rsid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sidR="000550AD">
        <w:rPr>
          <w:rFonts w:ascii="Cambria" w:eastAsia="Calibri" w:hAnsi="Cambria"/>
          <w:color w:val="136C73"/>
          <w:lang w:val="lt-LT"/>
        </w:rPr>
        <w:t>2</w:t>
      </w:r>
    </w:p>
    <w:p w14:paraId="530A0489" w14:textId="77777777" w:rsidR="006D1CFD" w:rsidRPr="006D1CFD" w:rsidRDefault="006D1CFD" w:rsidP="006D1CFD">
      <w:pPr>
        <w:spacing w:line="276" w:lineRule="auto"/>
        <w:jc w:val="center"/>
        <w:rPr>
          <w:rFonts w:ascii="Cambria" w:eastAsia="Calibri" w:hAnsi="Cambria"/>
          <w:color w:val="136C73"/>
          <w:lang w:val="lt-LT"/>
        </w:rPr>
      </w:pPr>
    </w:p>
    <w:p w14:paraId="6E32EC3B" w14:textId="77777777" w:rsidR="001639F1" w:rsidRDefault="001639F1" w:rsidP="0060015D">
      <w:pPr>
        <w:spacing w:after="200" w:line="276" w:lineRule="auto"/>
        <w:jc w:val="center"/>
        <w:rPr>
          <w:rFonts w:ascii="Cambria" w:eastAsia="Calibri" w:hAnsi="Cambria"/>
          <w:b/>
          <w:color w:val="136C73"/>
          <w:sz w:val="28"/>
          <w:szCs w:val="22"/>
          <w:lang w:val="lt-LT"/>
        </w:rPr>
      </w:pPr>
    </w:p>
    <w:p w14:paraId="201DC793" w14:textId="77777777" w:rsidR="004A106A" w:rsidRDefault="004A106A" w:rsidP="0060015D">
      <w:pPr>
        <w:spacing w:after="200" w:line="276" w:lineRule="auto"/>
        <w:jc w:val="center"/>
        <w:rPr>
          <w:rFonts w:ascii="Cambria" w:eastAsia="Calibri" w:hAnsi="Cambria"/>
          <w:b/>
          <w:color w:val="136C73"/>
          <w:sz w:val="28"/>
          <w:szCs w:val="22"/>
          <w:lang w:val="lt-LT"/>
        </w:rPr>
      </w:pPr>
    </w:p>
    <w:p w14:paraId="028BB6EA" w14:textId="7D518599" w:rsidR="0060015D" w:rsidRPr="0060015D" w:rsidRDefault="00677F9A" w:rsidP="0060015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t>Studijų krypties duomenys</w:t>
      </w:r>
    </w:p>
    <w:tbl>
      <w:tblPr>
        <w:tblStyle w:val="TableGrid"/>
        <w:tblpPr w:leftFromText="180" w:rightFromText="180" w:vertAnchor="text" w:horzAnchor="margin" w:tblpX="-318" w:tblpY="82"/>
        <w:tblW w:w="5233" w:type="pct"/>
        <w:tblLayout w:type="fixed"/>
        <w:tblLook w:val="04A0" w:firstRow="1" w:lastRow="0" w:firstColumn="1" w:lastColumn="0" w:noHBand="0" w:noVBand="1"/>
      </w:tblPr>
      <w:tblGrid>
        <w:gridCol w:w="4137"/>
        <w:gridCol w:w="3163"/>
        <w:gridCol w:w="3161"/>
      </w:tblGrid>
      <w:tr w:rsidR="0060015D" w:rsidRPr="00E461AF" w14:paraId="08D1B906" w14:textId="77777777" w:rsidTr="007935F1">
        <w:trPr>
          <w:trHeight w:val="510"/>
        </w:trPr>
        <w:tc>
          <w:tcPr>
            <w:tcW w:w="1977" w:type="pct"/>
            <w:shd w:val="clear" w:color="136C73" w:fill="EEECE1" w:themeFill="background2"/>
            <w:vAlign w:val="center"/>
          </w:tcPr>
          <w:p w14:paraId="44F4DFC9" w14:textId="4EF5F159" w:rsidR="0060015D" w:rsidRPr="00E461AF" w:rsidRDefault="0060015D" w:rsidP="007935F1">
            <w:pPr>
              <w:rPr>
                <w:rFonts w:ascii="Cambria" w:hAnsi="Cambria"/>
                <w:color w:val="136C73"/>
                <w:lang w:val="lt-LT" w:eastAsia="en-GB"/>
              </w:rPr>
            </w:pPr>
            <w:r w:rsidRPr="00E461AF">
              <w:rPr>
                <w:rFonts w:ascii="Cambria" w:eastAsia="MS Mincho" w:hAnsi="Cambria"/>
                <w:color w:val="136C73"/>
                <w:lang w:val="lt-LT" w:eastAsia="en-GB"/>
              </w:rPr>
              <w:t>Studijų programos pavadinimas</w:t>
            </w:r>
          </w:p>
        </w:tc>
        <w:tc>
          <w:tcPr>
            <w:tcW w:w="1512" w:type="pct"/>
            <w:shd w:val="clear" w:color="136C73" w:fill="FFFFFF" w:themeFill="background1"/>
            <w:vAlign w:val="center"/>
          </w:tcPr>
          <w:p w14:paraId="013A0562" w14:textId="61289BA9" w:rsidR="0060015D" w:rsidRPr="00E461AF" w:rsidRDefault="004A3A88" w:rsidP="007935F1">
            <w:pPr>
              <w:rPr>
                <w:rFonts w:ascii="Cambria" w:hAnsi="Cambria"/>
                <w:b/>
                <w:i/>
                <w:lang w:val="lt-LT" w:eastAsia="en-GB"/>
              </w:rPr>
            </w:pPr>
            <w:r w:rsidRPr="00E461AF">
              <w:rPr>
                <w:rFonts w:ascii="Cambria" w:hAnsi="Cambria"/>
                <w:b/>
                <w:i/>
                <w:lang w:val="lt-LT" w:eastAsia="en-GB"/>
              </w:rPr>
              <w:t>Biomechanika</w:t>
            </w:r>
          </w:p>
        </w:tc>
        <w:tc>
          <w:tcPr>
            <w:tcW w:w="1511" w:type="pct"/>
            <w:shd w:val="clear" w:color="136C73" w:fill="FFFFFF" w:themeFill="background1"/>
            <w:vAlign w:val="center"/>
          </w:tcPr>
          <w:p w14:paraId="29ED1F2D" w14:textId="3018F5AD" w:rsidR="0060015D" w:rsidRPr="00E461AF" w:rsidRDefault="004A3A88" w:rsidP="007935F1">
            <w:pPr>
              <w:rPr>
                <w:rFonts w:ascii="Cambria" w:hAnsi="Cambria"/>
                <w:b/>
                <w:i/>
                <w:lang w:val="lt-LT" w:eastAsia="en-GB"/>
              </w:rPr>
            </w:pPr>
            <w:r w:rsidRPr="00E461AF">
              <w:rPr>
                <w:rFonts w:ascii="Cambria" w:hAnsi="Cambria"/>
                <w:b/>
                <w:i/>
                <w:lang w:val="lt-LT" w:eastAsia="en-GB"/>
              </w:rPr>
              <w:t>Biomedicininė inžinerija</w:t>
            </w:r>
          </w:p>
        </w:tc>
      </w:tr>
      <w:tr w:rsidR="004A3A88" w:rsidRPr="00E461AF" w14:paraId="2C9F578E" w14:textId="77777777" w:rsidTr="007935F1">
        <w:trPr>
          <w:trHeight w:val="510"/>
        </w:trPr>
        <w:tc>
          <w:tcPr>
            <w:tcW w:w="1977" w:type="pct"/>
            <w:shd w:val="clear" w:color="auto" w:fill="EEECE1" w:themeFill="background2"/>
            <w:vAlign w:val="center"/>
          </w:tcPr>
          <w:p w14:paraId="70B3D895" w14:textId="326E204B"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Valstybinis kodas</w:t>
            </w:r>
          </w:p>
        </w:tc>
        <w:tc>
          <w:tcPr>
            <w:tcW w:w="1512" w:type="pct"/>
          </w:tcPr>
          <w:p w14:paraId="3E88B391" w14:textId="1DD2F974" w:rsidR="004A3A88" w:rsidRPr="00E461AF" w:rsidRDefault="004A3A88" w:rsidP="007935F1">
            <w:pPr>
              <w:rPr>
                <w:rStyle w:val="fontstyle01"/>
                <w:rFonts w:ascii="Cambria" w:hAnsi="Cambria"/>
                <w:b/>
                <w:lang w:val="lt-LT"/>
              </w:rPr>
            </w:pPr>
            <w:r w:rsidRPr="00E461AF">
              <w:rPr>
                <w:rFonts w:ascii="Cambria" w:hAnsi="Cambria"/>
              </w:rPr>
              <w:t>6121EX034</w:t>
            </w:r>
          </w:p>
        </w:tc>
        <w:tc>
          <w:tcPr>
            <w:tcW w:w="1511" w:type="pct"/>
            <w:vAlign w:val="center"/>
          </w:tcPr>
          <w:p w14:paraId="1D5DA568" w14:textId="0E4A4C5A" w:rsidR="004A3A88" w:rsidRPr="00E461AF" w:rsidRDefault="004A3A88" w:rsidP="007935F1">
            <w:pPr>
              <w:rPr>
                <w:rFonts w:ascii="Cambria" w:hAnsi="Cambria"/>
                <w:lang w:val="lt-LT"/>
              </w:rPr>
            </w:pPr>
            <w:r w:rsidRPr="00E461AF">
              <w:rPr>
                <w:rFonts w:ascii="Cambria" w:hAnsi="Cambria"/>
                <w:lang w:val="lt-LT" w:eastAsia="en-GB"/>
              </w:rPr>
              <w:t>6211EX032</w:t>
            </w:r>
          </w:p>
        </w:tc>
      </w:tr>
      <w:tr w:rsidR="004A3A88" w:rsidRPr="00E461AF" w14:paraId="57AC5DDB" w14:textId="77777777" w:rsidTr="007935F1">
        <w:trPr>
          <w:trHeight w:val="510"/>
        </w:trPr>
        <w:tc>
          <w:tcPr>
            <w:tcW w:w="1977" w:type="pct"/>
            <w:shd w:val="clear" w:color="auto" w:fill="EEECE1" w:themeFill="background2"/>
            <w:vAlign w:val="center"/>
          </w:tcPr>
          <w:p w14:paraId="77EEB514" w14:textId="69BEFAE4"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Studijų programos rūšis</w:t>
            </w:r>
          </w:p>
        </w:tc>
        <w:tc>
          <w:tcPr>
            <w:tcW w:w="1512" w:type="pct"/>
          </w:tcPr>
          <w:p w14:paraId="1BA5BFF2" w14:textId="6EA1E52B" w:rsidR="004A3A88" w:rsidRPr="00E461AF" w:rsidRDefault="00E461AF" w:rsidP="007935F1">
            <w:pPr>
              <w:rPr>
                <w:rFonts w:ascii="Cambria" w:hAnsi="Cambria"/>
                <w:lang w:val="lt-LT" w:eastAsia="en-GB"/>
              </w:rPr>
            </w:pPr>
            <w:r w:rsidRPr="00E461AF">
              <w:rPr>
                <w:rFonts w:ascii="Cambria" w:hAnsi="Cambria"/>
              </w:rPr>
              <w:t>U</w:t>
            </w:r>
            <w:r w:rsidR="004A3A88" w:rsidRPr="00E461AF">
              <w:rPr>
                <w:rFonts w:ascii="Cambria" w:hAnsi="Cambria"/>
              </w:rPr>
              <w:t>niversitetinės studijos</w:t>
            </w:r>
          </w:p>
        </w:tc>
        <w:tc>
          <w:tcPr>
            <w:tcW w:w="1511" w:type="pct"/>
            <w:vAlign w:val="center"/>
          </w:tcPr>
          <w:p w14:paraId="40C16E2C" w14:textId="12B1A482" w:rsidR="004A3A88" w:rsidRPr="00E461AF" w:rsidRDefault="00E461AF" w:rsidP="007935F1">
            <w:pPr>
              <w:rPr>
                <w:rFonts w:ascii="Cambria" w:hAnsi="Cambria"/>
                <w:lang w:val="lt-LT" w:eastAsia="en-GB"/>
              </w:rPr>
            </w:pPr>
            <w:r w:rsidRPr="00E461AF">
              <w:rPr>
                <w:rFonts w:ascii="Cambria" w:hAnsi="Cambria"/>
                <w:lang w:val="lt-LT" w:eastAsia="en-GB"/>
              </w:rPr>
              <w:t>U</w:t>
            </w:r>
            <w:r w:rsidR="004A3A88" w:rsidRPr="00E461AF">
              <w:rPr>
                <w:rFonts w:ascii="Cambria" w:hAnsi="Cambria"/>
                <w:lang w:val="lt-LT" w:eastAsia="en-GB"/>
              </w:rPr>
              <w:t>niversitetinės studijos</w:t>
            </w:r>
          </w:p>
        </w:tc>
      </w:tr>
      <w:tr w:rsidR="004A3A88" w:rsidRPr="00E461AF" w14:paraId="4C2B12E2" w14:textId="77777777" w:rsidTr="007935F1">
        <w:trPr>
          <w:trHeight w:val="510"/>
        </w:trPr>
        <w:tc>
          <w:tcPr>
            <w:tcW w:w="1977" w:type="pct"/>
            <w:shd w:val="clear" w:color="auto" w:fill="EEECE1" w:themeFill="background2"/>
            <w:vAlign w:val="center"/>
          </w:tcPr>
          <w:p w14:paraId="0A998C87" w14:textId="4D99B327"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Studijų pakopa</w:t>
            </w:r>
          </w:p>
        </w:tc>
        <w:tc>
          <w:tcPr>
            <w:tcW w:w="1512" w:type="pct"/>
          </w:tcPr>
          <w:p w14:paraId="3FB0D515" w14:textId="6D1D5AD8" w:rsidR="004A3A88" w:rsidRPr="00E461AF" w:rsidRDefault="00E461AF" w:rsidP="007935F1">
            <w:pPr>
              <w:rPr>
                <w:rFonts w:ascii="Cambria" w:hAnsi="Cambria"/>
                <w:lang w:val="lt-LT" w:eastAsia="en-GB"/>
              </w:rPr>
            </w:pPr>
            <w:r w:rsidRPr="00E461AF">
              <w:rPr>
                <w:rFonts w:ascii="Cambria" w:hAnsi="Cambria"/>
              </w:rPr>
              <w:t>P</w:t>
            </w:r>
            <w:r w:rsidR="004A3A88" w:rsidRPr="00E461AF">
              <w:rPr>
                <w:rFonts w:ascii="Cambria" w:hAnsi="Cambria"/>
              </w:rPr>
              <w:t>irmoji</w:t>
            </w:r>
          </w:p>
        </w:tc>
        <w:tc>
          <w:tcPr>
            <w:tcW w:w="1511" w:type="pct"/>
            <w:vAlign w:val="center"/>
          </w:tcPr>
          <w:p w14:paraId="7DEB6FC0" w14:textId="31366923" w:rsidR="004A3A88" w:rsidRPr="00E461AF" w:rsidRDefault="00E461AF" w:rsidP="007935F1">
            <w:pPr>
              <w:rPr>
                <w:rFonts w:ascii="Cambria" w:hAnsi="Cambria"/>
                <w:lang w:val="lt-LT" w:eastAsia="en-GB"/>
              </w:rPr>
            </w:pPr>
            <w:r w:rsidRPr="00E461AF">
              <w:rPr>
                <w:rFonts w:ascii="Cambria" w:hAnsi="Cambria"/>
                <w:lang w:val="lt-LT" w:eastAsia="en-GB"/>
              </w:rPr>
              <w:t>A</w:t>
            </w:r>
            <w:r w:rsidR="004A3A88" w:rsidRPr="00E461AF">
              <w:rPr>
                <w:rFonts w:ascii="Cambria" w:hAnsi="Cambria"/>
                <w:lang w:val="lt-LT" w:eastAsia="en-GB"/>
              </w:rPr>
              <w:t>ntroji</w:t>
            </w:r>
          </w:p>
        </w:tc>
      </w:tr>
      <w:tr w:rsidR="004A3A88" w:rsidRPr="00E461AF" w14:paraId="0CC2557F" w14:textId="77777777" w:rsidTr="007935F1">
        <w:trPr>
          <w:trHeight w:val="510"/>
        </w:trPr>
        <w:tc>
          <w:tcPr>
            <w:tcW w:w="1977" w:type="pct"/>
            <w:shd w:val="clear" w:color="auto" w:fill="EEECE1" w:themeFill="background2"/>
            <w:vAlign w:val="center"/>
          </w:tcPr>
          <w:p w14:paraId="2B8044F0" w14:textId="486A79E2"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Studijų forma (trukmė metais)</w:t>
            </w:r>
          </w:p>
        </w:tc>
        <w:tc>
          <w:tcPr>
            <w:tcW w:w="1512" w:type="pct"/>
          </w:tcPr>
          <w:p w14:paraId="72E1870C" w14:textId="42F30B41" w:rsidR="004A3A88" w:rsidRPr="00E461AF" w:rsidRDefault="00E461AF" w:rsidP="007935F1">
            <w:pPr>
              <w:rPr>
                <w:rFonts w:ascii="Cambria" w:hAnsi="Cambria"/>
                <w:lang w:val="lt-LT" w:eastAsia="en-GB"/>
              </w:rPr>
            </w:pPr>
            <w:r w:rsidRPr="00E461AF">
              <w:rPr>
                <w:rFonts w:ascii="Cambria" w:hAnsi="Cambria"/>
              </w:rPr>
              <w:t>N</w:t>
            </w:r>
            <w:r w:rsidR="004A3A88" w:rsidRPr="00E461AF">
              <w:rPr>
                <w:rFonts w:ascii="Cambria" w:hAnsi="Cambria"/>
              </w:rPr>
              <w:t>uolatinė (4metai)</w:t>
            </w:r>
          </w:p>
        </w:tc>
        <w:tc>
          <w:tcPr>
            <w:tcW w:w="1511" w:type="pct"/>
            <w:vAlign w:val="center"/>
          </w:tcPr>
          <w:p w14:paraId="5106CBB9" w14:textId="01EC0F1A" w:rsidR="004A3A88" w:rsidRPr="00E461AF" w:rsidRDefault="00E461AF" w:rsidP="007935F1">
            <w:pPr>
              <w:rPr>
                <w:rFonts w:ascii="Cambria" w:hAnsi="Cambria"/>
                <w:lang w:val="lt-LT" w:eastAsia="en-GB"/>
              </w:rPr>
            </w:pPr>
            <w:r w:rsidRPr="00E461AF">
              <w:rPr>
                <w:rFonts w:ascii="Cambria" w:hAnsi="Cambria"/>
                <w:lang w:val="lt-LT" w:eastAsia="en-GB"/>
              </w:rPr>
              <w:t>N</w:t>
            </w:r>
            <w:r w:rsidR="004A3A88" w:rsidRPr="00E461AF">
              <w:rPr>
                <w:rFonts w:ascii="Cambria" w:hAnsi="Cambria"/>
                <w:lang w:val="lt-LT" w:eastAsia="en-GB"/>
              </w:rPr>
              <w:t>uolatinė (2metai)</w:t>
            </w:r>
          </w:p>
        </w:tc>
      </w:tr>
      <w:tr w:rsidR="004A3A88" w:rsidRPr="00E461AF" w14:paraId="5262D178" w14:textId="77777777" w:rsidTr="007935F1">
        <w:trPr>
          <w:trHeight w:val="510"/>
        </w:trPr>
        <w:tc>
          <w:tcPr>
            <w:tcW w:w="1977" w:type="pct"/>
            <w:shd w:val="clear" w:color="auto" w:fill="EEECE1" w:themeFill="background2"/>
            <w:vAlign w:val="center"/>
          </w:tcPr>
          <w:p w14:paraId="1656A216" w14:textId="51601C37"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Studijų programos apimtis kreditais</w:t>
            </w:r>
          </w:p>
        </w:tc>
        <w:tc>
          <w:tcPr>
            <w:tcW w:w="1512" w:type="pct"/>
          </w:tcPr>
          <w:p w14:paraId="1494DB45" w14:textId="482BE2B5" w:rsidR="004A3A88" w:rsidRPr="00E461AF" w:rsidRDefault="004A3A88" w:rsidP="007935F1">
            <w:pPr>
              <w:rPr>
                <w:rFonts w:ascii="Cambria" w:hAnsi="Cambria"/>
                <w:lang w:val="lt-LT" w:eastAsia="en-GB"/>
              </w:rPr>
            </w:pPr>
            <w:r w:rsidRPr="00E461AF">
              <w:rPr>
                <w:rFonts w:ascii="Cambria" w:hAnsi="Cambria"/>
                <w:lang w:val="lt-LT" w:eastAsia="en-GB"/>
              </w:rPr>
              <w:t>240</w:t>
            </w:r>
          </w:p>
        </w:tc>
        <w:tc>
          <w:tcPr>
            <w:tcW w:w="1511" w:type="pct"/>
            <w:vAlign w:val="center"/>
          </w:tcPr>
          <w:p w14:paraId="2DAC9F2A" w14:textId="570FE10B" w:rsidR="004A3A88" w:rsidRPr="00E461AF" w:rsidRDefault="004A3A88" w:rsidP="007935F1">
            <w:pPr>
              <w:rPr>
                <w:rFonts w:ascii="Cambria" w:hAnsi="Cambria"/>
                <w:lang w:val="lt-LT" w:eastAsia="en-GB"/>
              </w:rPr>
            </w:pPr>
            <w:r w:rsidRPr="00E461AF">
              <w:rPr>
                <w:rFonts w:ascii="Cambria" w:hAnsi="Cambria"/>
                <w:lang w:val="lt-LT" w:eastAsia="en-GB"/>
              </w:rPr>
              <w:t>120</w:t>
            </w:r>
          </w:p>
        </w:tc>
      </w:tr>
      <w:tr w:rsidR="004A3A88" w:rsidRPr="00E461AF" w14:paraId="4457C8AC" w14:textId="77777777" w:rsidTr="007935F1">
        <w:trPr>
          <w:trHeight w:val="510"/>
        </w:trPr>
        <w:tc>
          <w:tcPr>
            <w:tcW w:w="1977" w:type="pct"/>
            <w:shd w:val="clear" w:color="auto" w:fill="EEECE1" w:themeFill="background2"/>
            <w:vAlign w:val="center"/>
          </w:tcPr>
          <w:p w14:paraId="340ABFD0" w14:textId="387AF360"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Suteikiamas laipsnis ir (ar) profesinė kvalifikacija</w:t>
            </w:r>
          </w:p>
        </w:tc>
        <w:tc>
          <w:tcPr>
            <w:tcW w:w="1512" w:type="pct"/>
          </w:tcPr>
          <w:p w14:paraId="1B6D5286" w14:textId="64938E0A" w:rsidR="004A3A88" w:rsidRPr="00E461AF" w:rsidRDefault="004A3A88" w:rsidP="007935F1">
            <w:pPr>
              <w:rPr>
                <w:rFonts w:ascii="Cambria" w:hAnsi="Cambria"/>
                <w:lang w:val="lt-LT" w:eastAsia="en-GB"/>
              </w:rPr>
            </w:pPr>
            <w:r w:rsidRPr="00E461AF">
              <w:rPr>
                <w:rFonts w:ascii="Cambria" w:hAnsi="Cambria"/>
                <w:lang w:val="lt-LT" w:eastAsia="en-GB"/>
              </w:rPr>
              <w:t>Inžinerijos mokslų bakalauras</w:t>
            </w:r>
          </w:p>
        </w:tc>
        <w:tc>
          <w:tcPr>
            <w:tcW w:w="1511" w:type="pct"/>
            <w:vAlign w:val="center"/>
          </w:tcPr>
          <w:p w14:paraId="4C03AEDA" w14:textId="5AA79947" w:rsidR="004A3A88" w:rsidRPr="00E461AF" w:rsidRDefault="004A3A88" w:rsidP="007935F1">
            <w:pPr>
              <w:rPr>
                <w:rFonts w:ascii="Cambria" w:hAnsi="Cambria"/>
                <w:lang w:val="lt-LT" w:eastAsia="en-GB"/>
              </w:rPr>
            </w:pPr>
            <w:r w:rsidRPr="00E461AF">
              <w:rPr>
                <w:rFonts w:ascii="Cambria" w:hAnsi="Cambria"/>
                <w:lang w:val="lt-LT" w:eastAsia="en-GB"/>
              </w:rPr>
              <w:t>Inžinerijos mokslų magistras</w:t>
            </w:r>
          </w:p>
        </w:tc>
      </w:tr>
      <w:tr w:rsidR="004A3A88" w:rsidRPr="00E461AF" w14:paraId="2C309D13" w14:textId="77777777" w:rsidTr="007935F1">
        <w:trPr>
          <w:trHeight w:val="510"/>
        </w:trPr>
        <w:tc>
          <w:tcPr>
            <w:tcW w:w="1977" w:type="pct"/>
            <w:shd w:val="clear" w:color="auto" w:fill="EEECE1" w:themeFill="background2"/>
            <w:vAlign w:val="center"/>
          </w:tcPr>
          <w:p w14:paraId="76BA4267" w14:textId="3DF8D3B7" w:rsidR="004A3A88" w:rsidRPr="00E461AF" w:rsidRDefault="004A3A88" w:rsidP="007935F1">
            <w:pPr>
              <w:rPr>
                <w:rFonts w:ascii="Cambria" w:eastAsia="MS Mincho" w:hAnsi="Cambria"/>
                <w:color w:val="136C73"/>
                <w:lang w:val="lt-LT" w:eastAsia="en-GB"/>
              </w:rPr>
            </w:pPr>
            <w:r w:rsidRPr="00E461AF">
              <w:rPr>
                <w:rFonts w:ascii="Cambria" w:eastAsia="MS Mincho" w:hAnsi="Cambria"/>
                <w:color w:val="136C73"/>
                <w:lang w:val="lt-LT" w:eastAsia="en-GB"/>
              </w:rPr>
              <w:t xml:space="preserve">Studijų vykdymo kalba </w:t>
            </w:r>
          </w:p>
        </w:tc>
        <w:tc>
          <w:tcPr>
            <w:tcW w:w="1512" w:type="pct"/>
          </w:tcPr>
          <w:p w14:paraId="6292540A" w14:textId="4FA65BE8" w:rsidR="004A3A88" w:rsidRPr="00E461AF" w:rsidRDefault="004A3A88" w:rsidP="007935F1">
            <w:pPr>
              <w:rPr>
                <w:rFonts w:ascii="Cambria" w:hAnsi="Cambria"/>
                <w:lang w:val="lt-LT" w:eastAsia="en-GB"/>
              </w:rPr>
            </w:pPr>
            <w:r w:rsidRPr="00E461AF">
              <w:rPr>
                <w:rFonts w:ascii="Cambria" w:hAnsi="Cambria"/>
                <w:lang w:val="lt-LT" w:eastAsia="en-GB"/>
              </w:rPr>
              <w:t>Lietuvių (nuo 2022 ir anglų)</w:t>
            </w:r>
          </w:p>
        </w:tc>
        <w:tc>
          <w:tcPr>
            <w:tcW w:w="1511" w:type="pct"/>
            <w:vAlign w:val="center"/>
          </w:tcPr>
          <w:p w14:paraId="22AEEFC2" w14:textId="04DADA26" w:rsidR="004A3A88" w:rsidRPr="00E461AF" w:rsidRDefault="004A3A88" w:rsidP="007935F1">
            <w:pPr>
              <w:rPr>
                <w:rFonts w:ascii="Cambria" w:hAnsi="Cambria"/>
                <w:lang w:val="lt-LT" w:eastAsia="en-GB"/>
              </w:rPr>
            </w:pPr>
            <w:r w:rsidRPr="00E461AF">
              <w:rPr>
                <w:rFonts w:ascii="Cambria" w:hAnsi="Cambria"/>
                <w:lang w:val="lt-LT" w:eastAsia="en-GB"/>
              </w:rPr>
              <w:t>Lietuvių ir anglų</w:t>
            </w:r>
          </w:p>
        </w:tc>
      </w:tr>
      <w:tr w:rsidR="0060015D" w:rsidRPr="00E461AF" w14:paraId="26999F46" w14:textId="77777777" w:rsidTr="007935F1">
        <w:trPr>
          <w:trHeight w:val="510"/>
        </w:trPr>
        <w:tc>
          <w:tcPr>
            <w:tcW w:w="1977" w:type="pct"/>
            <w:shd w:val="clear" w:color="auto" w:fill="EEECE1" w:themeFill="background2"/>
            <w:vAlign w:val="center"/>
          </w:tcPr>
          <w:p w14:paraId="6006B333" w14:textId="346014FE" w:rsidR="0060015D" w:rsidRPr="00E461AF" w:rsidRDefault="0060015D" w:rsidP="007935F1">
            <w:pPr>
              <w:rPr>
                <w:rFonts w:ascii="Cambria" w:eastAsia="MS Mincho" w:hAnsi="Cambria"/>
                <w:color w:val="136C73"/>
                <w:lang w:val="lt-LT" w:eastAsia="en-GB"/>
              </w:rPr>
            </w:pPr>
            <w:r w:rsidRPr="00E461AF">
              <w:rPr>
                <w:rFonts w:ascii="Cambria" w:eastAsia="MS Mincho" w:hAnsi="Cambria"/>
                <w:color w:val="136C73"/>
                <w:lang w:val="lt-LT" w:eastAsia="en-GB"/>
              </w:rPr>
              <w:t>Reikalavimai stojantiesiems</w:t>
            </w:r>
          </w:p>
        </w:tc>
        <w:tc>
          <w:tcPr>
            <w:tcW w:w="1512" w:type="pct"/>
            <w:vAlign w:val="center"/>
          </w:tcPr>
          <w:p w14:paraId="7C15886F" w14:textId="571C9CB8" w:rsidR="0060015D" w:rsidRPr="00E461AF" w:rsidRDefault="00E2437B" w:rsidP="007935F1">
            <w:pPr>
              <w:rPr>
                <w:rFonts w:ascii="Cambria" w:hAnsi="Cambria"/>
                <w:lang w:val="lt-LT" w:eastAsia="en-GB"/>
              </w:rPr>
            </w:pPr>
            <w:hyperlink r:id="rId9" w:history="1">
              <w:r w:rsidR="004A3A88" w:rsidRPr="00E461AF">
                <w:rPr>
                  <w:rStyle w:val="Hyperlink"/>
                  <w:rFonts w:ascii="Cambria" w:hAnsi="Cambria"/>
                  <w:lang w:val="lt-LT" w:eastAsia="en-GB"/>
                </w:rPr>
                <w:t>https://vilniustech.lt/stojantiesiems/bakalauro-ir-vientisosios-studijos/konkursiniai-balai/konkursinio-balo-sandara/348</w:t>
              </w:r>
            </w:hyperlink>
          </w:p>
        </w:tc>
        <w:tc>
          <w:tcPr>
            <w:tcW w:w="1511" w:type="pct"/>
            <w:vAlign w:val="center"/>
          </w:tcPr>
          <w:p w14:paraId="645BC424" w14:textId="77777777" w:rsidR="004A3A88" w:rsidRPr="00E461AF" w:rsidRDefault="004A3A88" w:rsidP="004A3A88">
            <w:pPr>
              <w:rPr>
                <w:rFonts w:ascii="Cambria" w:hAnsi="Cambria"/>
                <w:lang w:val="lt-LT" w:eastAsia="en-GB"/>
              </w:rPr>
            </w:pPr>
            <w:r w:rsidRPr="00E461AF">
              <w:rPr>
                <w:rFonts w:ascii="Cambria" w:hAnsi="Cambria"/>
                <w:lang w:val="lt-LT" w:eastAsia="en-GB"/>
              </w:rPr>
              <w:t>Įgytas universitetinis aukštasis išsilavinimas (bakalauro ar jam prilygintas laipsnis).</w:t>
            </w:r>
          </w:p>
          <w:p w14:paraId="2F807CA9" w14:textId="77777777" w:rsidR="004A3A88" w:rsidRPr="00E461AF" w:rsidRDefault="004A3A88" w:rsidP="004A3A88">
            <w:pPr>
              <w:rPr>
                <w:rFonts w:ascii="Cambria" w:hAnsi="Cambria"/>
                <w:lang w:val="lt-LT" w:eastAsia="en-GB"/>
              </w:rPr>
            </w:pPr>
            <w:r w:rsidRPr="00E461AF">
              <w:rPr>
                <w:rFonts w:ascii="Cambria" w:hAnsi="Cambria"/>
                <w:lang w:val="lt-LT" w:eastAsia="en-GB"/>
              </w:rPr>
              <w:t>Privalomieji bakalauro programos dalykai ir minimalios apimtys:</w:t>
            </w:r>
          </w:p>
          <w:p w14:paraId="6F3B2DB1" w14:textId="77777777" w:rsidR="004A3A88" w:rsidRPr="00E461AF" w:rsidRDefault="004A3A88" w:rsidP="004A3A88">
            <w:pPr>
              <w:rPr>
                <w:rFonts w:ascii="Cambria" w:hAnsi="Cambria"/>
                <w:lang w:val="lt-LT" w:eastAsia="en-GB"/>
              </w:rPr>
            </w:pPr>
            <w:r w:rsidRPr="00E461AF">
              <w:rPr>
                <w:rFonts w:ascii="Cambria" w:hAnsi="Cambria"/>
                <w:lang w:val="lt-LT" w:eastAsia="en-GB"/>
              </w:rPr>
              <w:t>Studijų pagrindų dalykai: Matematika 15 kr. Fizika 6 kr. Teorinė mechanika, medžiagų mechanika 6 kr. Bendroji ir taikomoji inžinerinė grafika 3 kr. Informacinės technologijos 3 kr.</w:t>
            </w:r>
          </w:p>
          <w:p w14:paraId="61201384" w14:textId="6DFE15D2" w:rsidR="0060015D" w:rsidRPr="00E461AF" w:rsidRDefault="004A3A88" w:rsidP="004A3A88">
            <w:pPr>
              <w:rPr>
                <w:rFonts w:ascii="Cambria" w:hAnsi="Cambria"/>
                <w:lang w:val="lt-LT" w:eastAsia="en-GB"/>
              </w:rPr>
            </w:pPr>
            <w:r w:rsidRPr="00E461AF">
              <w:rPr>
                <w:rFonts w:ascii="Cambria" w:hAnsi="Cambria"/>
                <w:lang w:val="lt-LT" w:eastAsia="en-GB"/>
              </w:rPr>
              <w:t>Specialūs programos dalykai: Automatinis valdymas, Biomechanika, Žmogaus anatomija ir/ar žmogaus fiziologija 10 kr.</w:t>
            </w:r>
          </w:p>
        </w:tc>
      </w:tr>
      <w:tr w:rsidR="0060015D" w:rsidRPr="00E461AF" w14:paraId="3515EC00" w14:textId="77777777" w:rsidTr="00856A4E">
        <w:trPr>
          <w:trHeight w:val="481"/>
        </w:trPr>
        <w:tc>
          <w:tcPr>
            <w:tcW w:w="1977" w:type="pct"/>
            <w:shd w:val="clear" w:color="auto" w:fill="EEECE1" w:themeFill="background2"/>
            <w:vAlign w:val="center"/>
          </w:tcPr>
          <w:p w14:paraId="6E7FFE9E" w14:textId="3EEE2722" w:rsidR="0060015D" w:rsidRPr="00E461AF" w:rsidRDefault="0060015D" w:rsidP="007935F1">
            <w:pPr>
              <w:rPr>
                <w:rFonts w:ascii="Cambria" w:eastAsia="MS Mincho" w:hAnsi="Cambria"/>
                <w:color w:val="136C73"/>
                <w:lang w:val="lt-LT" w:eastAsia="en-GB"/>
              </w:rPr>
            </w:pPr>
            <w:r w:rsidRPr="00E461AF">
              <w:rPr>
                <w:rFonts w:ascii="Cambria" w:eastAsia="MS Mincho" w:hAnsi="Cambria"/>
                <w:color w:val="136C73"/>
                <w:lang w:val="lt-LT" w:eastAsia="en-GB"/>
              </w:rPr>
              <w:t>Studijų programos įregistravimo data</w:t>
            </w:r>
          </w:p>
        </w:tc>
        <w:tc>
          <w:tcPr>
            <w:tcW w:w="1512" w:type="pct"/>
          </w:tcPr>
          <w:p w14:paraId="09B783F5" w14:textId="2EC997E4" w:rsidR="004A3A88" w:rsidRPr="00E461AF" w:rsidRDefault="00856A4E" w:rsidP="00856A4E">
            <w:pPr>
              <w:jc w:val="center"/>
              <w:rPr>
                <w:rStyle w:val="fontstyle01"/>
                <w:rFonts w:ascii="Cambria" w:hAnsi="Cambria"/>
                <w:lang w:val="lt-LT"/>
              </w:rPr>
            </w:pPr>
            <w:r>
              <w:rPr>
                <w:rStyle w:val="fontstyle01"/>
                <w:rFonts w:ascii="Cambria" w:hAnsi="Cambria"/>
                <w:lang w:val="lt-LT"/>
              </w:rPr>
              <w:t>1997-05-19</w:t>
            </w:r>
          </w:p>
          <w:p w14:paraId="3F57EA76" w14:textId="0FECD94C" w:rsidR="0060015D" w:rsidRPr="00E461AF" w:rsidRDefault="0060015D" w:rsidP="00856A4E">
            <w:pPr>
              <w:jc w:val="center"/>
              <w:rPr>
                <w:rStyle w:val="fontstyle01"/>
                <w:rFonts w:ascii="Cambria" w:hAnsi="Cambria"/>
                <w:b/>
                <w:lang w:val="lt-LT"/>
              </w:rPr>
            </w:pPr>
          </w:p>
        </w:tc>
        <w:tc>
          <w:tcPr>
            <w:tcW w:w="1511" w:type="pct"/>
          </w:tcPr>
          <w:p w14:paraId="2ACA7C79" w14:textId="50DB1F90" w:rsidR="0060015D" w:rsidRPr="00856A4E" w:rsidRDefault="00856A4E" w:rsidP="00856A4E">
            <w:pPr>
              <w:jc w:val="center"/>
              <w:rPr>
                <w:rFonts w:ascii="Cambria" w:hAnsi="Cambria"/>
                <w:lang w:val="lt-LT"/>
              </w:rPr>
            </w:pPr>
            <w:r>
              <w:rPr>
                <w:rFonts w:ascii="Cambria" w:hAnsi="Cambria"/>
                <w:lang w:val="lt-LT"/>
              </w:rPr>
              <w:t>1997-05-19</w:t>
            </w:r>
          </w:p>
        </w:tc>
      </w:tr>
    </w:tbl>
    <w:p w14:paraId="3BC15902" w14:textId="77777777" w:rsidR="00677F9A" w:rsidRPr="00677F9A" w:rsidRDefault="00677F9A" w:rsidP="0060015D">
      <w:pPr>
        <w:spacing w:after="200" w:line="276" w:lineRule="auto"/>
        <w:rPr>
          <w:rFonts w:ascii="Calibri" w:eastAsia="Calibri" w:hAnsi="Calibri"/>
          <w:i/>
          <w:color w:val="136C73"/>
          <w:sz w:val="22"/>
          <w:szCs w:val="22"/>
          <w:lang w:val="lt-LT"/>
        </w:rPr>
      </w:pPr>
    </w:p>
    <w:p w14:paraId="706B8D3D" w14:textId="77777777" w:rsidR="00677F9A" w:rsidRDefault="00677F9A" w:rsidP="00677F9A">
      <w:pPr>
        <w:spacing w:after="200" w:line="276" w:lineRule="auto"/>
        <w:ind w:left="-425"/>
        <w:rPr>
          <w:rFonts w:ascii="Calibri" w:eastAsia="Calibri" w:hAnsi="Calibri"/>
          <w:i/>
          <w:color w:val="136C73"/>
          <w:sz w:val="22"/>
          <w:szCs w:val="22"/>
          <w:lang w:val="lt-LT"/>
        </w:rPr>
      </w:pPr>
    </w:p>
    <w:p w14:paraId="691650D9" w14:textId="77777777" w:rsidR="00677F9A" w:rsidRDefault="00677F9A" w:rsidP="00677F9A">
      <w:pPr>
        <w:spacing w:after="200" w:line="276" w:lineRule="auto"/>
        <w:ind w:left="-425"/>
        <w:rPr>
          <w:rFonts w:ascii="Calibri" w:eastAsia="Calibri" w:hAnsi="Calibri"/>
          <w:i/>
          <w:color w:val="136C73"/>
          <w:sz w:val="22"/>
          <w:szCs w:val="22"/>
          <w:lang w:val="lt-LT"/>
        </w:rPr>
      </w:pPr>
    </w:p>
    <w:p w14:paraId="1828800F" w14:textId="77777777" w:rsidR="00677F9A" w:rsidRDefault="00677F9A" w:rsidP="00677F9A">
      <w:pPr>
        <w:spacing w:after="200" w:line="276" w:lineRule="auto"/>
        <w:ind w:left="-425"/>
        <w:rPr>
          <w:rFonts w:ascii="Calibri" w:eastAsia="Calibri" w:hAnsi="Calibri"/>
          <w:i/>
          <w:color w:val="136C73"/>
          <w:sz w:val="22"/>
          <w:szCs w:val="22"/>
          <w:lang w:val="lt-LT"/>
        </w:rPr>
      </w:pPr>
    </w:p>
    <w:p w14:paraId="64C57027" w14:textId="77777777" w:rsidR="00677F9A" w:rsidRDefault="00677F9A" w:rsidP="00677F9A">
      <w:pPr>
        <w:spacing w:after="200" w:line="276" w:lineRule="auto"/>
        <w:ind w:left="-425"/>
        <w:rPr>
          <w:rFonts w:ascii="Calibri" w:eastAsia="Calibri" w:hAnsi="Calibri"/>
          <w:i/>
          <w:color w:val="136C73"/>
          <w:sz w:val="22"/>
          <w:szCs w:val="22"/>
          <w:lang w:val="lt-LT"/>
        </w:rPr>
      </w:pPr>
    </w:p>
    <w:p w14:paraId="7FACE174" w14:textId="77777777" w:rsidR="0060015D" w:rsidRDefault="0060015D" w:rsidP="00677F9A">
      <w:pPr>
        <w:spacing w:after="200" w:line="276" w:lineRule="auto"/>
        <w:ind w:left="-425"/>
        <w:rPr>
          <w:rFonts w:ascii="Calibri" w:eastAsia="Calibri" w:hAnsi="Calibri"/>
          <w:i/>
          <w:color w:val="136C73"/>
          <w:sz w:val="22"/>
          <w:szCs w:val="22"/>
          <w:lang w:val="lt-LT"/>
        </w:rPr>
      </w:pPr>
    </w:p>
    <w:p w14:paraId="4954B940" w14:textId="77777777" w:rsidR="00031C92" w:rsidRDefault="00031C92" w:rsidP="00677F9A">
      <w:pPr>
        <w:spacing w:after="200" w:line="276" w:lineRule="auto"/>
        <w:ind w:left="-425"/>
        <w:rPr>
          <w:rFonts w:ascii="Calibri" w:eastAsia="Calibri" w:hAnsi="Calibri"/>
          <w:i/>
          <w:color w:val="136C73"/>
          <w:sz w:val="22"/>
          <w:szCs w:val="22"/>
          <w:lang w:val="lt-LT"/>
        </w:rPr>
      </w:pPr>
    </w:p>
    <w:p w14:paraId="03174C2E" w14:textId="77777777" w:rsidR="00586F3F" w:rsidRPr="00677F9A" w:rsidRDefault="00586F3F" w:rsidP="00586F3F">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t>II. apibendrinamasis ĮVERTINIMAS</w:t>
      </w:r>
    </w:p>
    <w:p w14:paraId="2AA028BB" w14:textId="0DFB8AF9" w:rsidR="00677F9A" w:rsidRPr="00677F9A" w:rsidRDefault="00677F9A" w:rsidP="00BD6452">
      <w:pPr>
        <w:jc w:val="both"/>
        <w:rPr>
          <w:rFonts w:ascii="Cambria" w:hAnsi="Cambria"/>
          <w:color w:val="000000"/>
          <w:lang w:val="lt-LT"/>
        </w:rPr>
      </w:pPr>
      <w:r w:rsidRPr="00384F20">
        <w:rPr>
          <w:rFonts w:ascii="Cambria" w:hAnsi="Cambria"/>
          <w:b/>
          <w:lang w:val="lt-LT"/>
        </w:rPr>
        <w:t>Pirmos</w:t>
      </w:r>
      <w:r w:rsidR="009E3DC9" w:rsidRPr="00384F20">
        <w:rPr>
          <w:rFonts w:ascii="Cambria" w:hAnsi="Cambria"/>
          <w:b/>
          <w:lang w:val="lt-LT"/>
        </w:rPr>
        <w:t>ios</w:t>
      </w:r>
      <w:r w:rsidRPr="00384F20">
        <w:rPr>
          <w:rFonts w:ascii="Cambria" w:hAnsi="Cambria"/>
          <w:b/>
          <w:lang w:val="lt-LT"/>
        </w:rPr>
        <w:t xml:space="preserve"> pakopos</w:t>
      </w:r>
      <w:r w:rsidRPr="00677F9A">
        <w:rPr>
          <w:rFonts w:ascii="Cambria" w:hAnsi="Cambria"/>
          <w:lang w:val="lt-LT"/>
        </w:rPr>
        <w:t xml:space="preserve"> </w:t>
      </w:r>
      <w:r w:rsidR="00586F3F" w:rsidRPr="00586F3F">
        <w:rPr>
          <w:rFonts w:ascii="Cambria" w:hAnsi="Cambria"/>
          <w:i/>
          <w:lang w:val="lt-LT"/>
        </w:rPr>
        <w:t>bioinžinerijos</w:t>
      </w:r>
      <w:r w:rsidR="00586F3F">
        <w:rPr>
          <w:rFonts w:ascii="Cambria" w:hAnsi="Cambria"/>
          <w:lang w:val="lt-LT"/>
        </w:rPr>
        <w:t xml:space="preserve"> </w:t>
      </w:r>
      <w:r w:rsidRPr="00677F9A">
        <w:rPr>
          <w:rFonts w:ascii="Cambria" w:hAnsi="Cambria"/>
          <w:lang w:val="lt-LT"/>
        </w:rPr>
        <w:t xml:space="preserve">krypties studijos </w:t>
      </w:r>
      <w:r w:rsidR="00586F3F">
        <w:rPr>
          <w:rFonts w:ascii="Cambria" w:hAnsi="Cambria"/>
          <w:i/>
          <w:lang w:val="lt-LT"/>
        </w:rPr>
        <w:t>Vilniaus Gedimino Technikos universitete</w:t>
      </w:r>
      <w:r w:rsidRPr="00677F9A">
        <w:rPr>
          <w:rFonts w:ascii="Cambria" w:hAnsi="Cambria"/>
          <w:i/>
          <w:lang w:val="lt-LT"/>
        </w:rPr>
        <w:t xml:space="preserve"> </w:t>
      </w:r>
      <w:r w:rsidRPr="00677F9A">
        <w:rPr>
          <w:rFonts w:ascii="Cambria" w:hAnsi="Cambria"/>
          <w:color w:val="000000"/>
          <w:lang w:val="lt-LT"/>
        </w:rPr>
        <w:t xml:space="preserve">vertinamos </w:t>
      </w:r>
      <w:r w:rsidRPr="00384F20">
        <w:rPr>
          <w:rFonts w:ascii="Cambria" w:hAnsi="Cambria"/>
          <w:b/>
          <w:color w:val="000000"/>
          <w:u w:val="single"/>
          <w:lang w:val="lt-LT"/>
        </w:rPr>
        <w:t>teigiamai</w:t>
      </w:r>
      <w:r w:rsidRPr="00677F9A">
        <w:rPr>
          <w:rFonts w:ascii="Cambria" w:hAnsi="Cambria"/>
          <w:color w:val="000000"/>
          <w:u w:val="single"/>
          <w:lang w:val="lt-LT"/>
        </w:rPr>
        <w:t>.</w:t>
      </w:r>
      <w:r w:rsidRPr="00677F9A">
        <w:rPr>
          <w:rFonts w:ascii="Cambria" w:hAnsi="Cambria"/>
          <w:color w:val="000000"/>
          <w:lang w:val="lt-LT"/>
        </w:rPr>
        <w:t xml:space="preserve"> </w:t>
      </w:r>
    </w:p>
    <w:p w14:paraId="5D47623A" w14:textId="77777777" w:rsidR="00677F9A" w:rsidRPr="00677F9A" w:rsidRDefault="00677F9A" w:rsidP="00BD6452">
      <w:pPr>
        <w:jc w:val="both"/>
        <w:rPr>
          <w:rFonts w:ascii="Cambria" w:hAnsi="Cambria"/>
          <w:color w:val="000000"/>
          <w:lang w:val="lt-LT"/>
        </w:rPr>
      </w:pPr>
    </w:p>
    <w:p w14:paraId="34E1996D" w14:textId="1DDC8798" w:rsidR="00677F9A" w:rsidRPr="00677F9A" w:rsidRDefault="00677F9A" w:rsidP="00BD6452">
      <w:pPr>
        <w:spacing w:after="200" w:line="276" w:lineRule="auto"/>
        <w:jc w:val="both"/>
        <w:rPr>
          <w:lang w:val="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4"/>
        <w:gridCol w:w="6886"/>
        <w:gridCol w:w="2041"/>
      </w:tblGrid>
      <w:tr w:rsidR="00677F9A" w:rsidRPr="00677F9A" w14:paraId="5A7DAAE8" w14:textId="77777777" w:rsidTr="007935F1">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4DC7C376"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03A2700B"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09B1183D"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69FB7F26"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049CE56"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586F3F" w:rsidRPr="00677F9A" w14:paraId="2B3EAD63"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2127541"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928F277"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2EA8D61" w14:textId="029D6BD7"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3</w:t>
            </w:r>
          </w:p>
        </w:tc>
      </w:tr>
      <w:tr w:rsidR="00586F3F" w:rsidRPr="00677F9A" w14:paraId="0D78BDAC"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E8E7F37"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BB3290F"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33B1A9D" w14:textId="3E5EF9C8"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3</w:t>
            </w:r>
          </w:p>
        </w:tc>
      </w:tr>
      <w:tr w:rsidR="00586F3F" w:rsidRPr="00677F9A" w14:paraId="73765E73"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C1131A5"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AAA86B1"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2AFE28F7" w14:textId="2F7D84A0"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4</w:t>
            </w:r>
          </w:p>
        </w:tc>
      </w:tr>
      <w:tr w:rsidR="00586F3F" w:rsidRPr="00677F9A" w14:paraId="2AB176BB"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F125000"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C93CAF9"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CDE640F" w14:textId="5B86C733"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4</w:t>
            </w:r>
          </w:p>
        </w:tc>
      </w:tr>
      <w:tr w:rsidR="00586F3F" w:rsidRPr="00677F9A" w14:paraId="62DD9ECE"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524B155"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BB3FC12"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2DA117C" w14:textId="543FDE56"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4</w:t>
            </w:r>
          </w:p>
        </w:tc>
      </w:tr>
      <w:tr w:rsidR="00586F3F" w:rsidRPr="00677F9A" w14:paraId="3959B76A"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B224017"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C01AAD8"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703D6F2" w14:textId="3443B126"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3</w:t>
            </w:r>
          </w:p>
        </w:tc>
      </w:tr>
      <w:tr w:rsidR="00586F3F" w:rsidRPr="00677F9A" w14:paraId="7C03584D"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DE2B82"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337F771"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51C5C08" w14:textId="23EFBFC5" w:rsidR="00586F3F" w:rsidRPr="00586F3F" w:rsidRDefault="00586F3F" w:rsidP="00586F3F">
            <w:pPr>
              <w:spacing w:after="200" w:line="60" w:lineRule="atLeast"/>
              <w:jc w:val="center"/>
              <w:rPr>
                <w:rFonts w:ascii="Cambria" w:eastAsia="Calibri" w:hAnsi="Cambria"/>
                <w:szCs w:val="22"/>
                <w:lang w:val="lt-LT" w:eastAsia="lt-LT"/>
              </w:rPr>
            </w:pPr>
            <w:r w:rsidRPr="00586F3F">
              <w:rPr>
                <w:rFonts w:ascii="Cambria" w:hAnsi="Cambria"/>
              </w:rPr>
              <w:t>4</w:t>
            </w:r>
          </w:p>
        </w:tc>
      </w:tr>
      <w:tr w:rsidR="00586F3F" w:rsidRPr="00677F9A" w14:paraId="6296A31B" w14:textId="77777777" w:rsidTr="007935F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75F7810" w14:textId="77777777" w:rsidR="00586F3F" w:rsidRPr="00677F9A" w:rsidRDefault="00586F3F" w:rsidP="00677F9A">
            <w:pPr>
              <w:spacing w:after="200"/>
              <w:rPr>
                <w:rFonts w:ascii="Cambria" w:eastAsia="Calibri" w:hAnsi="Cambria"/>
                <w:szCs w:val="22"/>
                <w:lang w:val="lt-LT"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48DBB7B" w14:textId="77777777" w:rsidR="00586F3F" w:rsidRPr="00677F9A" w:rsidRDefault="00586F3F" w:rsidP="00677F9A">
            <w:pPr>
              <w:spacing w:after="200"/>
              <w:rPr>
                <w:rFonts w:ascii="Cambria" w:eastAsia="Calibri" w:hAnsi="Cambria"/>
                <w:szCs w:val="22"/>
                <w:lang w:val="lt-LT" w:eastAsia="lt-LT"/>
              </w:rPr>
            </w:pPr>
            <w:r w:rsidRPr="00677F9A">
              <w:rPr>
                <w:rFonts w:ascii="Cambria" w:eastAsia="Calibri" w:hAnsi="Cambria"/>
                <w:szCs w:val="22"/>
                <w:lang w:val="lt-LT" w:eastAsia="lt-LT"/>
              </w:rPr>
              <w:t>Iš viso: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C5E23F8" w14:textId="3F9CAE8D" w:rsidR="00586F3F" w:rsidRPr="00586F3F" w:rsidRDefault="00586F3F" w:rsidP="00586F3F">
            <w:pPr>
              <w:spacing w:after="200"/>
              <w:jc w:val="center"/>
              <w:rPr>
                <w:rFonts w:ascii="Cambria" w:eastAsia="Calibri" w:hAnsi="Cambria"/>
                <w:szCs w:val="22"/>
                <w:lang w:val="lt-LT" w:eastAsia="lt-LT"/>
              </w:rPr>
            </w:pPr>
            <w:r w:rsidRPr="00586F3F">
              <w:rPr>
                <w:rFonts w:ascii="Cambria" w:hAnsi="Cambria"/>
              </w:rPr>
              <w:t>25</w:t>
            </w:r>
          </w:p>
        </w:tc>
      </w:tr>
    </w:tbl>
    <w:p w14:paraId="47FC1D9F" w14:textId="77777777" w:rsidR="00677F9A" w:rsidRPr="00677F9A" w:rsidRDefault="00677F9A" w:rsidP="000D4EE3">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2E093C4C"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335AF9CA"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442D8D7A"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22996C05" w14:textId="77777777" w:rsidR="00677F9A" w:rsidRPr="00677F9A" w:rsidRDefault="00677F9A" w:rsidP="00677F9A">
      <w:pPr>
        <w:numPr>
          <w:ilvl w:val="1"/>
          <w:numId w:val="15"/>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548843E8" w14:textId="77777777" w:rsidR="0093341B" w:rsidRDefault="0093341B" w:rsidP="00677F9A">
      <w:pPr>
        <w:jc w:val="both"/>
        <w:rPr>
          <w:rFonts w:ascii="Cambria" w:hAnsi="Cambria"/>
          <w:lang w:val="lt-LT"/>
        </w:rPr>
      </w:pPr>
    </w:p>
    <w:p w14:paraId="0AA20A67" w14:textId="77777777" w:rsidR="0093341B" w:rsidRDefault="0093341B" w:rsidP="00677F9A">
      <w:pPr>
        <w:jc w:val="both"/>
        <w:rPr>
          <w:rFonts w:ascii="Cambria" w:hAnsi="Cambria"/>
          <w:lang w:val="lt-LT"/>
        </w:rPr>
      </w:pPr>
    </w:p>
    <w:p w14:paraId="0575D335" w14:textId="77777777" w:rsidR="0093341B" w:rsidRDefault="0093341B" w:rsidP="00677F9A">
      <w:pPr>
        <w:jc w:val="both"/>
        <w:rPr>
          <w:rFonts w:ascii="Cambria" w:hAnsi="Cambria"/>
          <w:lang w:val="lt-LT"/>
        </w:rPr>
      </w:pPr>
    </w:p>
    <w:p w14:paraId="14345E2A" w14:textId="77777777" w:rsidR="0093341B" w:rsidRDefault="0093341B" w:rsidP="00677F9A">
      <w:pPr>
        <w:jc w:val="both"/>
        <w:rPr>
          <w:rFonts w:ascii="Cambria" w:hAnsi="Cambria"/>
          <w:lang w:val="lt-LT"/>
        </w:rPr>
      </w:pPr>
    </w:p>
    <w:p w14:paraId="380D36CB" w14:textId="77777777" w:rsidR="0093341B" w:rsidRDefault="0093341B" w:rsidP="00677F9A">
      <w:pPr>
        <w:jc w:val="both"/>
        <w:rPr>
          <w:rFonts w:ascii="Cambria" w:hAnsi="Cambria"/>
          <w:lang w:val="lt-LT"/>
        </w:rPr>
      </w:pPr>
    </w:p>
    <w:p w14:paraId="6DFBD2CC" w14:textId="77777777" w:rsidR="0093341B" w:rsidRDefault="0093341B" w:rsidP="00677F9A">
      <w:pPr>
        <w:jc w:val="both"/>
        <w:rPr>
          <w:rFonts w:ascii="Cambria" w:hAnsi="Cambria"/>
          <w:lang w:val="lt-LT"/>
        </w:rPr>
      </w:pPr>
    </w:p>
    <w:p w14:paraId="70D2E021" w14:textId="77777777" w:rsidR="0093341B" w:rsidRDefault="0093341B" w:rsidP="00677F9A">
      <w:pPr>
        <w:jc w:val="both"/>
        <w:rPr>
          <w:rFonts w:ascii="Cambria" w:hAnsi="Cambria"/>
          <w:lang w:val="lt-LT"/>
        </w:rPr>
      </w:pPr>
    </w:p>
    <w:p w14:paraId="64ED5449" w14:textId="77777777" w:rsidR="0093341B" w:rsidRDefault="0093341B" w:rsidP="00677F9A">
      <w:pPr>
        <w:jc w:val="both"/>
        <w:rPr>
          <w:rFonts w:ascii="Cambria" w:hAnsi="Cambria"/>
          <w:lang w:val="lt-LT"/>
        </w:rPr>
      </w:pPr>
    </w:p>
    <w:p w14:paraId="7FC76FEC" w14:textId="77777777" w:rsidR="0093341B" w:rsidRDefault="0093341B" w:rsidP="00677F9A">
      <w:pPr>
        <w:jc w:val="both"/>
        <w:rPr>
          <w:rFonts w:ascii="Cambria" w:hAnsi="Cambria"/>
          <w:lang w:val="lt-LT"/>
        </w:rPr>
      </w:pPr>
    </w:p>
    <w:p w14:paraId="211DB728" w14:textId="77777777" w:rsidR="0093341B" w:rsidRDefault="0093341B" w:rsidP="00677F9A">
      <w:pPr>
        <w:jc w:val="both"/>
        <w:rPr>
          <w:rFonts w:ascii="Cambria" w:hAnsi="Cambria"/>
          <w:lang w:val="lt-LT"/>
        </w:rPr>
      </w:pPr>
    </w:p>
    <w:p w14:paraId="0C084E47" w14:textId="77777777" w:rsidR="0093341B" w:rsidRDefault="0093341B" w:rsidP="00677F9A">
      <w:pPr>
        <w:jc w:val="both"/>
        <w:rPr>
          <w:rFonts w:ascii="Cambria" w:hAnsi="Cambria"/>
          <w:lang w:val="lt-LT"/>
        </w:rPr>
      </w:pPr>
    </w:p>
    <w:p w14:paraId="35AFBDFB" w14:textId="77777777" w:rsidR="0093341B" w:rsidRDefault="0093341B" w:rsidP="00677F9A">
      <w:pPr>
        <w:jc w:val="both"/>
        <w:rPr>
          <w:rFonts w:ascii="Cambria" w:hAnsi="Cambria"/>
          <w:lang w:val="lt-LT"/>
        </w:rPr>
      </w:pPr>
    </w:p>
    <w:p w14:paraId="321804E6" w14:textId="77777777" w:rsidR="0093341B" w:rsidRDefault="0093341B" w:rsidP="00677F9A">
      <w:pPr>
        <w:jc w:val="both"/>
        <w:rPr>
          <w:rFonts w:ascii="Cambria" w:hAnsi="Cambria"/>
          <w:lang w:val="lt-LT"/>
        </w:rPr>
      </w:pPr>
    </w:p>
    <w:p w14:paraId="5E80C6AA" w14:textId="77777777" w:rsidR="0093341B" w:rsidRDefault="0093341B" w:rsidP="00677F9A">
      <w:pPr>
        <w:jc w:val="both"/>
        <w:rPr>
          <w:rFonts w:ascii="Cambria" w:hAnsi="Cambria"/>
          <w:lang w:val="lt-LT"/>
        </w:rPr>
      </w:pPr>
    </w:p>
    <w:p w14:paraId="0D52632B" w14:textId="77777777" w:rsidR="0093341B" w:rsidRDefault="0093341B" w:rsidP="00677F9A">
      <w:pPr>
        <w:jc w:val="both"/>
        <w:rPr>
          <w:rFonts w:ascii="Cambria" w:hAnsi="Cambria"/>
          <w:lang w:val="lt-LT"/>
        </w:rPr>
      </w:pPr>
    </w:p>
    <w:p w14:paraId="2CB32251" w14:textId="77777777" w:rsidR="0093341B" w:rsidRDefault="0093341B" w:rsidP="00677F9A">
      <w:pPr>
        <w:jc w:val="both"/>
        <w:rPr>
          <w:rFonts w:ascii="Cambria" w:hAnsi="Cambria"/>
          <w:lang w:val="lt-LT"/>
        </w:rPr>
      </w:pPr>
    </w:p>
    <w:p w14:paraId="6F385204" w14:textId="77777777" w:rsidR="0093341B" w:rsidRDefault="0093341B" w:rsidP="00677F9A">
      <w:pPr>
        <w:jc w:val="both"/>
        <w:rPr>
          <w:rFonts w:ascii="Cambria" w:hAnsi="Cambria"/>
          <w:lang w:val="lt-LT"/>
        </w:rPr>
      </w:pPr>
    </w:p>
    <w:p w14:paraId="5EAF666D" w14:textId="77777777" w:rsidR="0093341B" w:rsidRDefault="0093341B" w:rsidP="00677F9A">
      <w:pPr>
        <w:jc w:val="both"/>
        <w:rPr>
          <w:rFonts w:ascii="Cambria" w:hAnsi="Cambria"/>
          <w:lang w:val="lt-LT"/>
        </w:rPr>
      </w:pPr>
    </w:p>
    <w:p w14:paraId="09F950EC" w14:textId="77777777" w:rsidR="0093341B" w:rsidRDefault="0093341B" w:rsidP="00677F9A">
      <w:pPr>
        <w:jc w:val="both"/>
        <w:rPr>
          <w:rFonts w:ascii="Cambria" w:hAnsi="Cambria"/>
          <w:lang w:val="lt-LT"/>
        </w:rPr>
      </w:pPr>
    </w:p>
    <w:p w14:paraId="3CA221BC" w14:textId="77777777" w:rsidR="0093341B" w:rsidRDefault="0093341B" w:rsidP="00677F9A">
      <w:pPr>
        <w:jc w:val="both"/>
        <w:rPr>
          <w:rFonts w:ascii="Cambria" w:hAnsi="Cambria"/>
          <w:lang w:val="lt-LT"/>
        </w:rPr>
      </w:pPr>
    </w:p>
    <w:p w14:paraId="1EBEAC2F" w14:textId="45010E24" w:rsidR="00677F9A" w:rsidRPr="00677F9A" w:rsidRDefault="00677F9A" w:rsidP="00BD6452">
      <w:pPr>
        <w:jc w:val="both"/>
        <w:rPr>
          <w:rFonts w:ascii="Cambria" w:hAnsi="Cambria"/>
          <w:color w:val="000000"/>
          <w:lang w:val="lt-LT"/>
        </w:rPr>
      </w:pPr>
      <w:r w:rsidRPr="00384F20">
        <w:rPr>
          <w:rFonts w:ascii="Cambria" w:hAnsi="Cambria"/>
          <w:b/>
          <w:lang w:val="lt-LT"/>
        </w:rPr>
        <w:t>Antros</w:t>
      </w:r>
      <w:r w:rsidR="0093341B" w:rsidRPr="00384F20">
        <w:rPr>
          <w:rFonts w:ascii="Cambria" w:hAnsi="Cambria"/>
          <w:b/>
          <w:lang w:val="lt-LT"/>
        </w:rPr>
        <w:t>ios</w:t>
      </w:r>
      <w:r w:rsidRPr="00384F20">
        <w:rPr>
          <w:rFonts w:ascii="Cambria" w:hAnsi="Cambria"/>
          <w:b/>
          <w:lang w:val="lt-LT"/>
        </w:rPr>
        <w:t xml:space="preserve"> pakopos</w:t>
      </w:r>
      <w:r w:rsidRPr="00677F9A">
        <w:rPr>
          <w:rFonts w:ascii="Cambria" w:hAnsi="Cambria"/>
          <w:lang w:val="lt-LT"/>
        </w:rPr>
        <w:t xml:space="preserve"> </w:t>
      </w:r>
      <w:r w:rsidR="00586F3F" w:rsidRPr="00586F3F">
        <w:rPr>
          <w:rFonts w:ascii="Cambria" w:hAnsi="Cambria"/>
          <w:i/>
          <w:lang w:val="lt-LT"/>
        </w:rPr>
        <w:t>bioinžinerijos</w:t>
      </w:r>
      <w:r w:rsidRPr="00677F9A">
        <w:rPr>
          <w:rFonts w:ascii="Cambria" w:hAnsi="Cambria"/>
          <w:lang w:val="lt-LT"/>
        </w:rPr>
        <w:t xml:space="preserve"> krypties studijos </w:t>
      </w:r>
      <w:r w:rsidR="00586F3F" w:rsidRPr="0093341B">
        <w:rPr>
          <w:rFonts w:ascii="Cambria" w:hAnsi="Cambria"/>
          <w:i/>
          <w:lang w:val="lt-LT"/>
        </w:rPr>
        <w:t>Vilniaus Gedimino technikos universitete</w:t>
      </w:r>
      <w:r w:rsidRPr="00677F9A">
        <w:rPr>
          <w:rFonts w:ascii="Cambria" w:hAnsi="Cambria"/>
          <w:i/>
          <w:lang w:val="lt-LT"/>
        </w:rPr>
        <w:t xml:space="preserve"> </w:t>
      </w:r>
      <w:r w:rsidRPr="00677F9A">
        <w:rPr>
          <w:rFonts w:ascii="Cambria" w:hAnsi="Cambria"/>
          <w:color w:val="000000"/>
          <w:lang w:val="lt-LT"/>
        </w:rPr>
        <w:t xml:space="preserve">vertinamos </w:t>
      </w:r>
      <w:r w:rsidRPr="00384F20">
        <w:rPr>
          <w:rFonts w:ascii="Cambria" w:hAnsi="Cambria"/>
          <w:b/>
          <w:color w:val="000000"/>
          <w:u w:val="single"/>
          <w:lang w:val="lt-LT"/>
        </w:rPr>
        <w:t>teigiamai</w:t>
      </w:r>
      <w:r w:rsidRPr="00677F9A">
        <w:rPr>
          <w:rFonts w:ascii="Cambria" w:hAnsi="Cambria"/>
          <w:color w:val="000000"/>
          <w:u w:val="single"/>
          <w:lang w:val="lt-LT"/>
        </w:rPr>
        <w:t>.</w:t>
      </w:r>
      <w:r w:rsidRPr="00677F9A">
        <w:rPr>
          <w:rFonts w:ascii="Cambria" w:hAnsi="Cambria"/>
          <w:color w:val="000000"/>
          <w:lang w:val="lt-LT"/>
        </w:rPr>
        <w:t xml:space="preserve"> </w:t>
      </w:r>
    </w:p>
    <w:p w14:paraId="13E0438B" w14:textId="77777777" w:rsidR="00677F9A" w:rsidRPr="00677F9A" w:rsidRDefault="00677F9A" w:rsidP="00BD6452">
      <w:pPr>
        <w:jc w:val="both"/>
        <w:rPr>
          <w:rFonts w:ascii="Cambria" w:hAnsi="Cambria"/>
          <w:color w:val="000000"/>
          <w:lang w:val="lt-LT"/>
        </w:rPr>
      </w:pPr>
    </w:p>
    <w:p w14:paraId="1D514176" w14:textId="52DAEFA6" w:rsidR="00677F9A" w:rsidRPr="00677F9A" w:rsidRDefault="00677F9A" w:rsidP="00BD6452">
      <w:pPr>
        <w:spacing w:after="200" w:line="276" w:lineRule="auto"/>
        <w:jc w:val="both"/>
        <w:rPr>
          <w:lang w:val="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677F9A" w:rsidRPr="00BD6452" w14:paraId="5596FA7E" w14:textId="77777777" w:rsidTr="007935F1">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514920AF" w14:textId="77777777" w:rsidR="00677F9A" w:rsidRPr="00BD6452" w:rsidRDefault="00677F9A" w:rsidP="00677F9A">
            <w:pPr>
              <w:spacing w:after="200"/>
              <w:jc w:val="center"/>
              <w:rPr>
                <w:rFonts w:ascii="Cambria" w:eastAsia="Calibri" w:hAnsi="Cambria"/>
                <w:b/>
                <w:color w:val="632423"/>
                <w:szCs w:val="22"/>
                <w:lang w:val="lt-LT" w:eastAsia="lt-LT"/>
              </w:rPr>
            </w:pPr>
            <w:r w:rsidRPr="00BD6452">
              <w:rPr>
                <w:rFonts w:ascii="Cambria" w:eastAsia="Calibri" w:hAnsi="Cambria"/>
                <w:b/>
                <w:color w:val="632423"/>
                <w:szCs w:val="22"/>
                <w:lang w:val="lt-LT" w:eastAsia="lt-LT"/>
              </w:rPr>
              <w:t>Eil.</w:t>
            </w:r>
          </w:p>
          <w:p w14:paraId="7D77CB16" w14:textId="77777777" w:rsidR="00677F9A" w:rsidRPr="00BD6452" w:rsidRDefault="00677F9A" w:rsidP="00677F9A">
            <w:pPr>
              <w:spacing w:after="200" w:line="60" w:lineRule="atLeast"/>
              <w:jc w:val="center"/>
              <w:rPr>
                <w:rFonts w:ascii="Cambria" w:eastAsia="Calibri" w:hAnsi="Cambria"/>
                <w:b/>
                <w:color w:val="632423"/>
                <w:szCs w:val="22"/>
                <w:lang w:val="lt-LT" w:eastAsia="lt-LT"/>
              </w:rPr>
            </w:pPr>
            <w:r w:rsidRPr="00BD6452">
              <w:rPr>
                <w:rFonts w:ascii="Cambria" w:eastAsia="Calibri" w:hAnsi="Cambria"/>
                <w:b/>
                <w:color w:val="63242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7B7124F" w14:textId="77777777" w:rsidR="00677F9A" w:rsidRPr="00BD6452" w:rsidRDefault="00677F9A" w:rsidP="00677F9A">
            <w:pPr>
              <w:spacing w:before="100" w:beforeAutospacing="1" w:after="200" w:afterAutospacing="1"/>
              <w:jc w:val="center"/>
              <w:rPr>
                <w:rFonts w:ascii="Cambria" w:eastAsia="Calibri" w:hAnsi="Cambria"/>
                <w:b/>
                <w:color w:val="632423"/>
                <w:szCs w:val="22"/>
                <w:lang w:val="lt-LT" w:eastAsia="lt-LT"/>
              </w:rPr>
            </w:pPr>
            <w:r w:rsidRPr="00BD6452">
              <w:rPr>
                <w:rFonts w:ascii="Cambria" w:eastAsia="Calibri" w:hAnsi="Cambria"/>
                <w:b/>
                <w:color w:val="632423"/>
                <w:szCs w:val="22"/>
                <w:lang w:val="lt-LT" w:eastAsia="lt-LT"/>
              </w:rPr>
              <w:t>Vertinimo sritis</w:t>
            </w:r>
          </w:p>
          <w:p w14:paraId="454662B3" w14:textId="77777777" w:rsidR="00677F9A" w:rsidRPr="00BD6452"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BD6452">
              <w:rPr>
                <w:rFonts w:ascii="Cambria" w:eastAsia="Calibri" w:hAnsi="Cambria"/>
                <w:b/>
                <w:color w:val="632423"/>
                <w:szCs w:val="22"/>
                <w:lang w:val="lt-LT"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8454C90" w14:textId="77777777" w:rsidR="00677F9A" w:rsidRPr="00BD6452" w:rsidRDefault="00677F9A" w:rsidP="00677F9A">
            <w:pPr>
              <w:spacing w:before="100" w:beforeAutospacing="1" w:after="200" w:afterAutospacing="1"/>
              <w:jc w:val="center"/>
              <w:rPr>
                <w:rFonts w:ascii="Cambria" w:eastAsia="Calibri" w:hAnsi="Cambria"/>
                <w:b/>
                <w:color w:val="632423"/>
                <w:szCs w:val="22"/>
                <w:lang w:val="lt-LT" w:eastAsia="lt-LT"/>
              </w:rPr>
            </w:pPr>
            <w:r w:rsidRPr="00BD6452">
              <w:rPr>
                <w:rFonts w:ascii="Cambria" w:eastAsia="Calibri" w:hAnsi="Cambria"/>
                <w:b/>
                <w:color w:val="632423"/>
                <w:szCs w:val="22"/>
                <w:lang w:val="lt-LT" w:eastAsia="lt-LT"/>
              </w:rPr>
              <w:t>Srities įvertinimas, balais</w:t>
            </w:r>
          </w:p>
        </w:tc>
      </w:tr>
      <w:tr w:rsidR="006A447D" w:rsidRPr="00BD6452" w14:paraId="5CC9756B"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C1486DF"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A86DD58"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2E66BFD" w14:textId="7FDF93C2"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3</w:t>
            </w:r>
          </w:p>
        </w:tc>
      </w:tr>
      <w:tr w:rsidR="006A447D" w:rsidRPr="00BD6452" w14:paraId="4DC16FA3"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7AA5FAB"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E24ECC7"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99C56FA" w14:textId="5ACB1E5A"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3</w:t>
            </w:r>
          </w:p>
        </w:tc>
      </w:tr>
      <w:tr w:rsidR="006A447D" w:rsidRPr="00BD6452" w14:paraId="45437AE8"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0E4B09C"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05815D5"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E4A58F5" w14:textId="01D14F00"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4</w:t>
            </w:r>
          </w:p>
        </w:tc>
      </w:tr>
      <w:tr w:rsidR="006A447D" w:rsidRPr="00BD6452" w14:paraId="4EA97468"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8CEF032"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5E186CE"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77FD621A" w14:textId="359C57A5"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4</w:t>
            </w:r>
          </w:p>
        </w:tc>
      </w:tr>
      <w:tr w:rsidR="006A447D" w:rsidRPr="00BD6452" w14:paraId="03DF6E14"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5E3A873"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9C2287C"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4897D551" w14:textId="763D1BBE"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4</w:t>
            </w:r>
          </w:p>
        </w:tc>
      </w:tr>
      <w:tr w:rsidR="006A447D" w:rsidRPr="00BD6452" w14:paraId="69AF2312"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D8EAD17"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5930B32"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5214DB7" w14:textId="37A6FA98"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3</w:t>
            </w:r>
          </w:p>
        </w:tc>
      </w:tr>
      <w:tr w:rsidR="006A447D" w:rsidRPr="00BD6452" w14:paraId="6B43D488"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EE14F37"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24A8DD7B"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7D456BC1" w14:textId="1BE87DA0" w:rsidR="006A447D" w:rsidRPr="00BD6452" w:rsidRDefault="006A447D" w:rsidP="00827E4A">
            <w:pPr>
              <w:spacing w:after="200" w:line="60" w:lineRule="atLeast"/>
              <w:jc w:val="center"/>
              <w:rPr>
                <w:rFonts w:ascii="Cambria" w:eastAsia="Calibri" w:hAnsi="Cambria"/>
                <w:szCs w:val="22"/>
                <w:lang w:val="lt-LT" w:eastAsia="lt-LT"/>
              </w:rPr>
            </w:pPr>
            <w:r w:rsidRPr="00BD6452">
              <w:rPr>
                <w:rFonts w:ascii="Cambria" w:hAnsi="Cambria"/>
              </w:rPr>
              <w:t>4</w:t>
            </w:r>
          </w:p>
        </w:tc>
      </w:tr>
      <w:tr w:rsidR="006A447D" w:rsidRPr="00BD6452" w14:paraId="48416782" w14:textId="77777777" w:rsidTr="007935F1">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43D4458" w14:textId="77777777" w:rsidR="006A447D" w:rsidRPr="00BD6452" w:rsidRDefault="006A447D" w:rsidP="00677F9A">
            <w:pPr>
              <w:spacing w:after="200"/>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D739CD6" w14:textId="77777777" w:rsidR="006A447D" w:rsidRPr="00BD6452" w:rsidRDefault="006A447D" w:rsidP="00677F9A">
            <w:pPr>
              <w:spacing w:after="200"/>
              <w:rPr>
                <w:rFonts w:ascii="Cambria" w:eastAsia="Calibri" w:hAnsi="Cambria"/>
                <w:szCs w:val="22"/>
                <w:lang w:val="lt-LT" w:eastAsia="lt-LT"/>
              </w:rPr>
            </w:pPr>
            <w:r w:rsidRPr="00BD6452">
              <w:rPr>
                <w:rFonts w:ascii="Cambria" w:eastAsia="Calibri" w:hAnsi="Cambria"/>
                <w:szCs w:val="22"/>
                <w:lang w:val="lt-LT"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754B8C6" w14:textId="412825E3" w:rsidR="006A447D" w:rsidRPr="00BD6452" w:rsidRDefault="006A447D" w:rsidP="00827E4A">
            <w:pPr>
              <w:spacing w:after="200"/>
              <w:jc w:val="center"/>
              <w:rPr>
                <w:rFonts w:ascii="Cambria" w:eastAsia="Calibri" w:hAnsi="Cambria"/>
                <w:szCs w:val="22"/>
                <w:lang w:val="lt-LT" w:eastAsia="lt-LT"/>
              </w:rPr>
            </w:pPr>
            <w:r w:rsidRPr="00BD6452">
              <w:rPr>
                <w:rFonts w:ascii="Cambria" w:hAnsi="Cambria"/>
              </w:rPr>
              <w:t>25</w:t>
            </w:r>
          </w:p>
        </w:tc>
      </w:tr>
    </w:tbl>
    <w:p w14:paraId="2741C879" w14:textId="77777777" w:rsidR="000D4EE3" w:rsidRDefault="000D4EE3" w:rsidP="00677F9A">
      <w:pPr>
        <w:tabs>
          <w:tab w:val="num" w:pos="1080"/>
        </w:tabs>
        <w:spacing w:line="276" w:lineRule="auto"/>
        <w:jc w:val="both"/>
        <w:rPr>
          <w:rFonts w:ascii="Cambria" w:hAnsi="Cambria"/>
          <w:sz w:val="20"/>
          <w:szCs w:val="20"/>
          <w:lang w:val="lt-LT"/>
        </w:rPr>
      </w:pPr>
    </w:p>
    <w:p w14:paraId="2F2913B9"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1-</w:t>
      </w:r>
      <w:r w:rsidRPr="00677F9A">
        <w:rPr>
          <w:rFonts w:ascii="Cambria" w:hAnsi="Cambria"/>
          <w:sz w:val="20"/>
          <w:szCs w:val="20"/>
          <w:lang w:val="lt-LT"/>
        </w:rPr>
        <w:t xml:space="preserve">Nepatenkinamai (sritis netenkina minimalių reikalavimų, yra esminių trūkumų, dėl kurių krypties studijos </w:t>
      </w:r>
      <w:r>
        <w:rPr>
          <w:rFonts w:ascii="Cambria" w:hAnsi="Cambria"/>
          <w:sz w:val="20"/>
          <w:szCs w:val="20"/>
          <w:lang w:val="lt-LT"/>
        </w:rPr>
        <w:t>neg</w:t>
      </w:r>
      <w:r w:rsidRPr="00677F9A">
        <w:rPr>
          <w:rFonts w:ascii="Cambria" w:hAnsi="Cambria"/>
          <w:sz w:val="20"/>
          <w:szCs w:val="20"/>
          <w:lang w:val="lt-LT"/>
        </w:rPr>
        <w:t>ali būti vykdomos)</w:t>
      </w:r>
    </w:p>
    <w:p w14:paraId="34AD6297"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2-</w:t>
      </w:r>
      <w:r w:rsidRPr="00677F9A">
        <w:rPr>
          <w:rFonts w:ascii="Cambria" w:hAnsi="Cambria"/>
          <w:sz w:val="20"/>
          <w:szCs w:val="20"/>
          <w:lang w:val="lt-LT"/>
        </w:rPr>
        <w:t>Patenkinamai (sritis tenkina minimalius reikalavimus, yra esminių trūkumų, kuriuos būtina pašalinti)</w:t>
      </w:r>
    </w:p>
    <w:p w14:paraId="7774BC21"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3-</w:t>
      </w:r>
      <w:r w:rsidRPr="00677F9A">
        <w:rPr>
          <w:rFonts w:ascii="Cambria" w:hAnsi="Cambria"/>
          <w:sz w:val="20"/>
          <w:szCs w:val="20"/>
          <w:lang w:val="lt-LT"/>
        </w:rPr>
        <w:t>Gerai (sritis plėtojama sistemiškai, be esminių trūkumų)</w:t>
      </w:r>
    </w:p>
    <w:p w14:paraId="7904EDFA"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4-</w:t>
      </w:r>
      <w:r w:rsidRPr="00677F9A">
        <w:rPr>
          <w:rFonts w:ascii="Cambria" w:hAnsi="Cambria"/>
          <w:sz w:val="20"/>
          <w:szCs w:val="20"/>
          <w:lang w:val="lt-LT"/>
        </w:rPr>
        <w:t>Labai gerai (sritis vertinama labai gerai nacionaliniame kontekste ir tarptautinėje erdvėje, be jokių trūkumų)</w:t>
      </w:r>
    </w:p>
    <w:p w14:paraId="47906A39" w14:textId="795A14C1"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5-</w:t>
      </w:r>
      <w:r w:rsidRPr="00677F9A">
        <w:rPr>
          <w:rFonts w:ascii="Cambria" w:hAnsi="Cambria"/>
          <w:sz w:val="20"/>
          <w:szCs w:val="20"/>
          <w:lang w:val="lt-LT"/>
        </w:rPr>
        <w:t>Išskirtinės kokybės (sritis vertinama išskirtinai gerai nacionaliniame kontekste ir tarptautinėje erdvėje)</w:t>
      </w:r>
    </w:p>
    <w:p w14:paraId="261AAB3D" w14:textId="77777777" w:rsidR="009E6203" w:rsidRDefault="009E6203" w:rsidP="000D4EE3">
      <w:pPr>
        <w:tabs>
          <w:tab w:val="num" w:pos="1080"/>
        </w:tabs>
        <w:spacing w:line="276" w:lineRule="auto"/>
        <w:ind w:left="284"/>
        <w:jc w:val="both"/>
        <w:rPr>
          <w:rFonts w:ascii="Cambria" w:hAnsi="Cambria"/>
          <w:sz w:val="20"/>
          <w:szCs w:val="20"/>
          <w:lang w:val="lt-LT"/>
        </w:rPr>
      </w:pPr>
    </w:p>
    <w:p w14:paraId="6827F955" w14:textId="77777777" w:rsidR="009E6203" w:rsidRDefault="009E6203" w:rsidP="000D4EE3">
      <w:pPr>
        <w:tabs>
          <w:tab w:val="num" w:pos="1080"/>
        </w:tabs>
        <w:spacing w:line="276" w:lineRule="auto"/>
        <w:ind w:left="284"/>
        <w:jc w:val="both"/>
        <w:rPr>
          <w:rFonts w:ascii="Cambria" w:hAnsi="Cambria"/>
          <w:sz w:val="20"/>
          <w:szCs w:val="20"/>
          <w:lang w:val="lt-LT"/>
        </w:rPr>
      </w:pPr>
    </w:p>
    <w:p w14:paraId="6095183B" w14:textId="77777777" w:rsidR="009E6203" w:rsidRDefault="009E6203" w:rsidP="000D4EE3">
      <w:pPr>
        <w:tabs>
          <w:tab w:val="num" w:pos="1080"/>
        </w:tabs>
        <w:spacing w:line="276" w:lineRule="auto"/>
        <w:ind w:left="284"/>
        <w:jc w:val="both"/>
        <w:rPr>
          <w:rFonts w:ascii="Cambria" w:hAnsi="Cambria"/>
          <w:sz w:val="20"/>
          <w:szCs w:val="20"/>
          <w:lang w:val="lt-LT"/>
        </w:rPr>
      </w:pPr>
    </w:p>
    <w:p w14:paraId="52CF6DEB" w14:textId="77777777" w:rsidR="009E6203" w:rsidRDefault="009E6203" w:rsidP="000D4EE3">
      <w:pPr>
        <w:tabs>
          <w:tab w:val="num" w:pos="1080"/>
        </w:tabs>
        <w:spacing w:line="276" w:lineRule="auto"/>
        <w:ind w:left="284"/>
        <w:jc w:val="both"/>
        <w:rPr>
          <w:rFonts w:ascii="Cambria" w:hAnsi="Cambria"/>
          <w:sz w:val="20"/>
          <w:szCs w:val="20"/>
          <w:lang w:val="lt-LT"/>
        </w:rPr>
      </w:pPr>
    </w:p>
    <w:p w14:paraId="7AB8AC14" w14:textId="77777777" w:rsidR="009E6203" w:rsidRDefault="009E6203" w:rsidP="000D4EE3">
      <w:pPr>
        <w:tabs>
          <w:tab w:val="num" w:pos="1080"/>
        </w:tabs>
        <w:spacing w:line="276" w:lineRule="auto"/>
        <w:ind w:left="284"/>
        <w:jc w:val="both"/>
        <w:rPr>
          <w:rFonts w:ascii="Cambria" w:hAnsi="Cambria"/>
          <w:sz w:val="20"/>
          <w:szCs w:val="20"/>
          <w:lang w:val="lt-LT"/>
        </w:rPr>
      </w:pPr>
    </w:p>
    <w:p w14:paraId="19AE880F" w14:textId="77777777" w:rsidR="009E6203" w:rsidRDefault="009E6203" w:rsidP="000D4EE3">
      <w:pPr>
        <w:tabs>
          <w:tab w:val="num" w:pos="1080"/>
        </w:tabs>
        <w:spacing w:line="276" w:lineRule="auto"/>
        <w:ind w:left="284"/>
        <w:jc w:val="both"/>
        <w:rPr>
          <w:rFonts w:ascii="Cambria" w:hAnsi="Cambria"/>
          <w:sz w:val="20"/>
          <w:szCs w:val="20"/>
          <w:lang w:val="lt-LT"/>
        </w:rPr>
      </w:pPr>
    </w:p>
    <w:p w14:paraId="57A6669D" w14:textId="77777777" w:rsidR="009E6203" w:rsidRDefault="009E6203" w:rsidP="000D4EE3">
      <w:pPr>
        <w:tabs>
          <w:tab w:val="num" w:pos="1080"/>
        </w:tabs>
        <w:spacing w:line="276" w:lineRule="auto"/>
        <w:ind w:left="284"/>
        <w:jc w:val="both"/>
        <w:rPr>
          <w:rFonts w:ascii="Cambria" w:hAnsi="Cambria"/>
          <w:sz w:val="20"/>
          <w:szCs w:val="20"/>
          <w:lang w:val="lt-LT"/>
        </w:rPr>
      </w:pPr>
    </w:p>
    <w:p w14:paraId="25BB7399" w14:textId="77777777" w:rsidR="009E6203" w:rsidRDefault="009E6203" w:rsidP="000D4EE3">
      <w:pPr>
        <w:tabs>
          <w:tab w:val="num" w:pos="1080"/>
        </w:tabs>
        <w:spacing w:line="276" w:lineRule="auto"/>
        <w:ind w:left="284"/>
        <w:jc w:val="both"/>
        <w:rPr>
          <w:rFonts w:ascii="Cambria" w:hAnsi="Cambria"/>
          <w:sz w:val="20"/>
          <w:szCs w:val="20"/>
          <w:lang w:val="lt-LT"/>
        </w:rPr>
      </w:pPr>
    </w:p>
    <w:p w14:paraId="234E70E7" w14:textId="77777777" w:rsidR="009E6203" w:rsidRDefault="009E6203" w:rsidP="000D4EE3">
      <w:pPr>
        <w:tabs>
          <w:tab w:val="num" w:pos="1080"/>
        </w:tabs>
        <w:spacing w:line="276" w:lineRule="auto"/>
        <w:ind w:left="284"/>
        <w:jc w:val="both"/>
        <w:rPr>
          <w:rFonts w:ascii="Cambria" w:hAnsi="Cambria"/>
          <w:sz w:val="20"/>
          <w:szCs w:val="20"/>
          <w:lang w:val="lt-LT"/>
        </w:rPr>
      </w:pPr>
    </w:p>
    <w:p w14:paraId="134E09DD" w14:textId="77777777" w:rsidR="009E6203" w:rsidRDefault="009E6203" w:rsidP="000D4EE3">
      <w:pPr>
        <w:tabs>
          <w:tab w:val="num" w:pos="1080"/>
        </w:tabs>
        <w:spacing w:line="276" w:lineRule="auto"/>
        <w:ind w:left="284"/>
        <w:jc w:val="both"/>
        <w:rPr>
          <w:rFonts w:ascii="Cambria" w:hAnsi="Cambria"/>
          <w:sz w:val="20"/>
          <w:szCs w:val="20"/>
          <w:lang w:val="lt-LT"/>
        </w:rPr>
      </w:pPr>
    </w:p>
    <w:p w14:paraId="33DD22C0" w14:textId="77777777" w:rsidR="009E6203" w:rsidRDefault="009E6203" w:rsidP="000D4EE3">
      <w:pPr>
        <w:tabs>
          <w:tab w:val="num" w:pos="1080"/>
        </w:tabs>
        <w:spacing w:line="276" w:lineRule="auto"/>
        <w:ind w:left="284"/>
        <w:jc w:val="both"/>
        <w:rPr>
          <w:rFonts w:ascii="Cambria" w:hAnsi="Cambria"/>
          <w:sz w:val="20"/>
          <w:szCs w:val="20"/>
          <w:lang w:val="lt-LT"/>
        </w:rPr>
      </w:pPr>
    </w:p>
    <w:p w14:paraId="458AF3D2" w14:textId="77777777" w:rsidR="009E6203" w:rsidRDefault="009E6203" w:rsidP="000D4EE3">
      <w:pPr>
        <w:tabs>
          <w:tab w:val="num" w:pos="1080"/>
        </w:tabs>
        <w:spacing w:line="276" w:lineRule="auto"/>
        <w:ind w:left="284"/>
        <w:jc w:val="both"/>
        <w:rPr>
          <w:rFonts w:ascii="Cambria" w:hAnsi="Cambria"/>
          <w:sz w:val="20"/>
          <w:szCs w:val="20"/>
          <w:lang w:val="lt-LT"/>
        </w:rPr>
      </w:pPr>
    </w:p>
    <w:p w14:paraId="7EB8917B" w14:textId="77777777" w:rsidR="009E6203" w:rsidRDefault="009E6203" w:rsidP="000D4EE3">
      <w:pPr>
        <w:tabs>
          <w:tab w:val="num" w:pos="1080"/>
        </w:tabs>
        <w:spacing w:line="276" w:lineRule="auto"/>
        <w:ind w:left="284"/>
        <w:jc w:val="both"/>
        <w:rPr>
          <w:rFonts w:ascii="Cambria" w:hAnsi="Cambria"/>
          <w:sz w:val="20"/>
          <w:szCs w:val="20"/>
          <w:lang w:val="lt-LT"/>
        </w:rPr>
      </w:pPr>
    </w:p>
    <w:p w14:paraId="09B225DB" w14:textId="77777777" w:rsidR="009E6203" w:rsidRDefault="009E6203" w:rsidP="000D4EE3">
      <w:pPr>
        <w:tabs>
          <w:tab w:val="num" w:pos="1080"/>
        </w:tabs>
        <w:spacing w:line="276" w:lineRule="auto"/>
        <w:ind w:left="284"/>
        <w:jc w:val="both"/>
        <w:rPr>
          <w:rFonts w:ascii="Cambria" w:hAnsi="Cambria"/>
          <w:sz w:val="20"/>
          <w:szCs w:val="20"/>
          <w:lang w:val="lt-LT"/>
        </w:rPr>
      </w:pPr>
    </w:p>
    <w:p w14:paraId="1262F3F0" w14:textId="77777777" w:rsidR="009E6203" w:rsidRDefault="009E6203" w:rsidP="000D4EE3">
      <w:pPr>
        <w:tabs>
          <w:tab w:val="num" w:pos="1080"/>
        </w:tabs>
        <w:spacing w:line="276" w:lineRule="auto"/>
        <w:ind w:left="284"/>
        <w:jc w:val="both"/>
        <w:rPr>
          <w:rFonts w:ascii="Cambria" w:hAnsi="Cambria"/>
          <w:sz w:val="20"/>
          <w:szCs w:val="20"/>
          <w:lang w:val="lt-LT"/>
        </w:rPr>
      </w:pPr>
    </w:p>
    <w:p w14:paraId="79350C8F" w14:textId="77777777" w:rsidR="009E6203" w:rsidRDefault="009E6203" w:rsidP="000D4EE3">
      <w:pPr>
        <w:tabs>
          <w:tab w:val="num" w:pos="1080"/>
        </w:tabs>
        <w:spacing w:line="276" w:lineRule="auto"/>
        <w:ind w:left="284"/>
        <w:jc w:val="both"/>
        <w:rPr>
          <w:rFonts w:ascii="Cambria" w:hAnsi="Cambria"/>
          <w:sz w:val="20"/>
          <w:szCs w:val="20"/>
          <w:lang w:val="lt-LT"/>
        </w:rPr>
      </w:pPr>
    </w:p>
    <w:p w14:paraId="032FCA01" w14:textId="77777777" w:rsidR="009E6203" w:rsidRDefault="009E6203" w:rsidP="000D4EE3">
      <w:pPr>
        <w:tabs>
          <w:tab w:val="num" w:pos="1080"/>
        </w:tabs>
        <w:spacing w:line="276" w:lineRule="auto"/>
        <w:ind w:left="284"/>
        <w:jc w:val="both"/>
        <w:rPr>
          <w:rFonts w:ascii="Cambria" w:hAnsi="Cambria"/>
          <w:sz w:val="20"/>
          <w:szCs w:val="20"/>
          <w:lang w:val="lt-LT"/>
        </w:rPr>
      </w:pPr>
    </w:p>
    <w:p w14:paraId="5B654C2C" w14:textId="77777777" w:rsidR="009E6203" w:rsidRDefault="009E6203" w:rsidP="000D4EE3">
      <w:pPr>
        <w:tabs>
          <w:tab w:val="num" w:pos="1080"/>
        </w:tabs>
        <w:spacing w:line="276" w:lineRule="auto"/>
        <w:ind w:left="284"/>
        <w:jc w:val="both"/>
        <w:rPr>
          <w:rFonts w:ascii="Cambria" w:hAnsi="Cambria"/>
          <w:sz w:val="20"/>
          <w:szCs w:val="20"/>
          <w:lang w:val="lt-LT"/>
        </w:rPr>
      </w:pPr>
    </w:p>
    <w:p w14:paraId="58281C96" w14:textId="77777777" w:rsidR="009E6203" w:rsidRDefault="009E6203" w:rsidP="000D4EE3">
      <w:pPr>
        <w:tabs>
          <w:tab w:val="num" w:pos="1080"/>
        </w:tabs>
        <w:spacing w:line="276" w:lineRule="auto"/>
        <w:ind w:left="284"/>
        <w:jc w:val="both"/>
        <w:rPr>
          <w:rFonts w:ascii="Cambria" w:hAnsi="Cambria"/>
          <w:sz w:val="20"/>
          <w:szCs w:val="20"/>
          <w:lang w:val="lt-LT"/>
        </w:rPr>
      </w:pPr>
    </w:p>
    <w:p w14:paraId="15DD86DA" w14:textId="77777777" w:rsidR="009E6203" w:rsidRDefault="009E6203" w:rsidP="000D4EE3">
      <w:pPr>
        <w:tabs>
          <w:tab w:val="num" w:pos="1080"/>
        </w:tabs>
        <w:spacing w:line="276" w:lineRule="auto"/>
        <w:ind w:left="284"/>
        <w:jc w:val="both"/>
        <w:rPr>
          <w:rFonts w:ascii="Cambria" w:hAnsi="Cambria"/>
          <w:sz w:val="20"/>
          <w:szCs w:val="20"/>
          <w:lang w:val="lt-LT"/>
        </w:rPr>
      </w:pPr>
    </w:p>
    <w:p w14:paraId="6E8B234C" w14:textId="77777777" w:rsidR="009E6203" w:rsidRDefault="009E6203" w:rsidP="000D4EE3">
      <w:pPr>
        <w:tabs>
          <w:tab w:val="num" w:pos="1080"/>
        </w:tabs>
        <w:spacing w:line="276" w:lineRule="auto"/>
        <w:ind w:left="284"/>
        <w:jc w:val="both"/>
        <w:rPr>
          <w:rFonts w:ascii="Cambria" w:hAnsi="Cambria"/>
          <w:sz w:val="20"/>
          <w:szCs w:val="20"/>
          <w:lang w:val="lt-LT"/>
        </w:rPr>
      </w:pPr>
    </w:p>
    <w:p w14:paraId="6AD60D19" w14:textId="77777777" w:rsidR="009E6203" w:rsidRDefault="009E6203" w:rsidP="000D4EE3">
      <w:pPr>
        <w:tabs>
          <w:tab w:val="num" w:pos="1080"/>
        </w:tabs>
        <w:spacing w:line="276" w:lineRule="auto"/>
        <w:ind w:left="284"/>
        <w:jc w:val="both"/>
        <w:rPr>
          <w:rFonts w:ascii="Cambria" w:hAnsi="Cambria"/>
          <w:sz w:val="20"/>
          <w:szCs w:val="20"/>
          <w:lang w:val="lt-LT"/>
        </w:rPr>
      </w:pPr>
    </w:p>
    <w:p w14:paraId="30C166E7" w14:textId="77777777" w:rsidR="009E6203" w:rsidRDefault="009E6203" w:rsidP="000D4EE3">
      <w:pPr>
        <w:tabs>
          <w:tab w:val="num" w:pos="1080"/>
        </w:tabs>
        <w:spacing w:line="276" w:lineRule="auto"/>
        <w:ind w:left="284"/>
        <w:jc w:val="both"/>
        <w:rPr>
          <w:rFonts w:ascii="Cambria" w:hAnsi="Cambria"/>
          <w:sz w:val="20"/>
          <w:szCs w:val="20"/>
          <w:lang w:val="lt-LT"/>
        </w:rPr>
      </w:pPr>
    </w:p>
    <w:p w14:paraId="06957846" w14:textId="77777777" w:rsidR="009E6203" w:rsidRDefault="009E6203" w:rsidP="000D4EE3">
      <w:pPr>
        <w:tabs>
          <w:tab w:val="num" w:pos="1080"/>
        </w:tabs>
        <w:spacing w:line="276" w:lineRule="auto"/>
        <w:ind w:left="284"/>
        <w:jc w:val="both"/>
        <w:rPr>
          <w:rFonts w:ascii="Cambria" w:hAnsi="Cambria"/>
          <w:sz w:val="20"/>
          <w:szCs w:val="20"/>
          <w:lang w:val="lt-LT"/>
        </w:rPr>
      </w:pPr>
    </w:p>
    <w:p w14:paraId="35840E05" w14:textId="52539EAC" w:rsidR="009E6203" w:rsidRDefault="009E6203" w:rsidP="00031C92">
      <w:pPr>
        <w:keepNext/>
        <w:keepLines/>
        <w:tabs>
          <w:tab w:val="left" w:pos="680"/>
        </w:tabs>
        <w:spacing w:before="240" w:after="240"/>
        <w:jc w:val="center"/>
        <w:outlineLvl w:val="1"/>
        <w:rPr>
          <w:rFonts w:ascii="Cambria" w:hAnsi="Cambria"/>
          <w:b/>
          <w:bCs/>
          <w:caps/>
          <w:color w:val="136C73"/>
          <w:sz w:val="36"/>
          <w:szCs w:val="26"/>
          <w:lang w:val="lt-LT" w:eastAsia="lt-LT"/>
        </w:rPr>
      </w:pPr>
      <w:r w:rsidRPr="00C72D32">
        <w:rPr>
          <w:rFonts w:ascii="Cambria" w:hAnsi="Cambria"/>
          <w:b/>
          <w:bCs/>
          <w:caps/>
          <w:color w:val="136C73"/>
          <w:sz w:val="36"/>
          <w:szCs w:val="26"/>
          <w:lang w:val="lt-LT" w:eastAsia="lt-LT"/>
        </w:rPr>
        <w:t>v. REkomendacijos</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60"/>
        <w:gridCol w:w="7194"/>
      </w:tblGrid>
      <w:tr w:rsidR="009E6203" w:rsidRPr="00827E4A" w14:paraId="0F24E01C" w14:textId="77777777" w:rsidTr="00BC7FBF">
        <w:trPr>
          <w:trHeight w:val="654"/>
        </w:trPr>
        <w:tc>
          <w:tcPr>
            <w:tcW w:w="2660" w:type="dxa"/>
            <w:shd w:val="clear" w:color="auto" w:fill="EEECE1"/>
            <w:vAlign w:val="center"/>
          </w:tcPr>
          <w:p w14:paraId="294ABBE4" w14:textId="77777777" w:rsidR="009E6203" w:rsidRPr="00827E4A" w:rsidRDefault="009E6203" w:rsidP="00BC7FBF">
            <w:pPr>
              <w:jc w:val="center"/>
              <w:rPr>
                <w:rFonts w:ascii="Cambria" w:eastAsia="Calibri" w:hAnsi="Cambria" w:cs="Cambria"/>
                <w:b/>
                <w:color w:val="136C73"/>
                <w:lang w:val="lt-LT" w:eastAsia="lt-LT"/>
              </w:rPr>
            </w:pPr>
            <w:r w:rsidRPr="00827E4A">
              <w:rPr>
                <w:rFonts w:ascii="Cambria" w:eastAsia="Calibri" w:hAnsi="Cambria" w:cs="Cambria"/>
                <w:b/>
                <w:color w:val="136C73"/>
                <w:lang w:val="lt-LT" w:eastAsia="lt-LT"/>
              </w:rPr>
              <w:t>Vertinamoji sritis</w:t>
            </w:r>
          </w:p>
        </w:tc>
        <w:tc>
          <w:tcPr>
            <w:tcW w:w="7194" w:type="dxa"/>
            <w:shd w:val="clear" w:color="auto" w:fill="EEECE1"/>
            <w:vAlign w:val="center"/>
          </w:tcPr>
          <w:p w14:paraId="3316DCE4" w14:textId="77777777" w:rsidR="009E6203" w:rsidRPr="00827E4A" w:rsidRDefault="009E6203" w:rsidP="00BC7FBF">
            <w:pPr>
              <w:jc w:val="center"/>
              <w:rPr>
                <w:rFonts w:ascii="Cambria" w:eastAsia="Calibri" w:hAnsi="Cambria" w:cs="Cambria"/>
                <w:b/>
                <w:color w:val="136C73"/>
                <w:lang w:val="lt-LT" w:eastAsia="lt-LT"/>
              </w:rPr>
            </w:pPr>
            <w:r w:rsidRPr="00827E4A">
              <w:rPr>
                <w:rFonts w:ascii="Cambria" w:eastAsia="Calibri" w:hAnsi="Cambria" w:cs="Cambria"/>
                <w:b/>
                <w:color w:val="136C73"/>
                <w:lang w:val="lt-LT" w:eastAsia="lt-LT"/>
              </w:rPr>
              <w:t>Rekomendacijos vertinamajai sričiai (studijų pakopai)</w:t>
            </w:r>
          </w:p>
        </w:tc>
      </w:tr>
      <w:tr w:rsidR="009E6203" w:rsidRPr="00827E4A" w14:paraId="35E696D0" w14:textId="77777777" w:rsidTr="00BC7FBF">
        <w:trPr>
          <w:trHeight w:val="2778"/>
        </w:trPr>
        <w:tc>
          <w:tcPr>
            <w:tcW w:w="2660" w:type="dxa"/>
            <w:shd w:val="clear" w:color="auto" w:fill="EEECE1"/>
            <w:vAlign w:val="center"/>
          </w:tcPr>
          <w:p w14:paraId="14B65E60"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t>Studijų tikslai, rezultatai ir turinys</w:t>
            </w:r>
          </w:p>
        </w:tc>
        <w:tc>
          <w:tcPr>
            <w:tcW w:w="7194" w:type="dxa"/>
            <w:vAlign w:val="center"/>
          </w:tcPr>
          <w:p w14:paraId="334F584D" w14:textId="130F0CFB" w:rsidR="009E6203" w:rsidRPr="00827E4A" w:rsidRDefault="00B710F0" w:rsidP="00BC7FBF">
            <w:pPr>
              <w:numPr>
                <w:ilvl w:val="6"/>
                <w:numId w:val="25"/>
              </w:numPr>
              <w:spacing w:after="120" w:line="276" w:lineRule="auto"/>
              <w:ind w:left="459" w:hanging="425"/>
              <w:jc w:val="both"/>
              <w:rPr>
                <w:rFonts w:ascii="Cambria" w:eastAsia="Calibri" w:hAnsi="Cambria" w:cs="Cambria"/>
                <w:lang w:val="lt-LT" w:eastAsia="lt-LT"/>
              </w:rPr>
            </w:pPr>
            <w:r>
              <w:rPr>
                <w:rFonts w:ascii="Cambria" w:eastAsia="Calibri" w:hAnsi="Cambria" w:cs="Cambria"/>
                <w:lang w:val="lt-LT" w:eastAsia="lt-LT"/>
              </w:rPr>
              <w:t>Į studijų</w:t>
            </w:r>
            <w:r w:rsidR="009E6203" w:rsidRPr="00827E4A">
              <w:rPr>
                <w:rFonts w:ascii="Cambria" w:eastAsia="Calibri" w:hAnsi="Cambria" w:cs="Cambria"/>
                <w:lang w:val="lt-LT" w:eastAsia="lt-LT"/>
              </w:rPr>
              <w:t xml:space="preserve"> programą įtraukti bendravimą su medicinos ir (arba) sveikatos priežiūros specialistais.</w:t>
            </w:r>
          </w:p>
          <w:p w14:paraId="05FB4A22" w14:textId="77777777" w:rsidR="009E6203" w:rsidRPr="00827E4A" w:rsidRDefault="009E6203" w:rsidP="00BC7FBF">
            <w:pPr>
              <w:numPr>
                <w:ilvl w:val="6"/>
                <w:numId w:val="25"/>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Įtraukti ir integruoti mokslinės komunikacijos žodžiu ir raštu anglų kalba mokymus į lietuviškas programas.</w:t>
            </w:r>
          </w:p>
          <w:p w14:paraId="1457AAC2" w14:textId="3302D35B" w:rsidR="009E6203" w:rsidRPr="00827E4A" w:rsidRDefault="00B710F0" w:rsidP="00BC7FBF">
            <w:pPr>
              <w:numPr>
                <w:ilvl w:val="6"/>
                <w:numId w:val="25"/>
              </w:numPr>
              <w:spacing w:after="120" w:line="276" w:lineRule="auto"/>
              <w:ind w:left="459" w:hanging="425"/>
              <w:jc w:val="both"/>
              <w:rPr>
                <w:rFonts w:ascii="Cambria" w:eastAsia="Calibri" w:hAnsi="Cambria" w:cs="Cambria"/>
                <w:lang w:val="lt-LT" w:eastAsia="lt-LT"/>
              </w:rPr>
            </w:pPr>
            <w:r>
              <w:rPr>
                <w:rFonts w:ascii="Cambria" w:eastAsia="Calibri" w:hAnsi="Cambria" w:cs="Cambria"/>
                <w:lang w:val="lt-LT" w:eastAsia="lt-LT"/>
              </w:rPr>
              <w:t xml:space="preserve">Išplėsti studijų </w:t>
            </w:r>
            <w:r w:rsidR="009E6203" w:rsidRPr="00827E4A">
              <w:rPr>
                <w:rFonts w:ascii="Cambria" w:eastAsia="Calibri" w:hAnsi="Cambria" w:cs="Cambria"/>
                <w:lang w:val="lt-LT" w:eastAsia="lt-LT"/>
              </w:rPr>
              <w:t>programą</w:t>
            </w:r>
            <w:r>
              <w:rPr>
                <w:rFonts w:ascii="Cambria" w:eastAsia="Calibri" w:hAnsi="Cambria" w:cs="Cambria"/>
                <w:lang w:val="lt-LT" w:eastAsia="lt-LT"/>
              </w:rPr>
              <w:t>,</w:t>
            </w:r>
            <w:r w:rsidR="009E6203" w:rsidRPr="00827E4A">
              <w:rPr>
                <w:rFonts w:ascii="Cambria" w:eastAsia="Calibri" w:hAnsi="Cambria" w:cs="Cambria"/>
                <w:lang w:val="lt-LT" w:eastAsia="lt-LT"/>
              </w:rPr>
              <w:t xml:space="preserve"> įtraukiant atitinkamus pasirenkamuosius dalykus, kad studentai turėtų daugiau galimybių individualizuoti savo išsilavinimą.</w:t>
            </w:r>
          </w:p>
          <w:p w14:paraId="023E94FE" w14:textId="77777777" w:rsidR="009E6203" w:rsidRPr="00827E4A" w:rsidRDefault="009E6203" w:rsidP="00BC7FBF">
            <w:pPr>
              <w:numPr>
                <w:ilvl w:val="6"/>
                <w:numId w:val="25"/>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Pirmosios pakopos studijų programos pavadinimą „Biomechanika“ pakeisti į „Biomedicinos inžinerija“.</w:t>
            </w:r>
          </w:p>
        </w:tc>
      </w:tr>
      <w:tr w:rsidR="009E6203" w:rsidRPr="00827E4A" w14:paraId="60C75846" w14:textId="77777777" w:rsidTr="00BC7FBF">
        <w:trPr>
          <w:trHeight w:val="4479"/>
        </w:trPr>
        <w:tc>
          <w:tcPr>
            <w:tcW w:w="2660" w:type="dxa"/>
            <w:shd w:val="clear" w:color="auto" w:fill="EEECE1"/>
            <w:vAlign w:val="center"/>
          </w:tcPr>
          <w:p w14:paraId="6A34686D"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t>Mokslo (meno) ir studijų sąsajos</w:t>
            </w:r>
          </w:p>
        </w:tc>
        <w:tc>
          <w:tcPr>
            <w:tcW w:w="7194" w:type="dxa"/>
            <w:vAlign w:val="center"/>
          </w:tcPr>
          <w:p w14:paraId="77971DA6" w14:textId="77777777" w:rsidR="009E6203" w:rsidRPr="00827E4A" w:rsidRDefault="009E6203" w:rsidP="00BC7FBF">
            <w:pPr>
              <w:numPr>
                <w:ilvl w:val="6"/>
                <w:numId w:val="26"/>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 xml:space="preserve">Pastaraisiais metais buvo finansuotos tik kelios dotacijų paraiškos. Siekiant sukurti tvarų projektų paraiškų teikimo procesą, reikėtų aktyviai tęsti koordinuojamų ir universiteto remiamų dotacijų paraiškų teikimą. </w:t>
            </w:r>
          </w:p>
          <w:p w14:paraId="7B595366" w14:textId="0F0AE99C" w:rsidR="009E6203" w:rsidRPr="00827E4A" w:rsidRDefault="009E6203" w:rsidP="00BC7FBF">
            <w:pPr>
              <w:numPr>
                <w:ilvl w:val="6"/>
                <w:numId w:val="26"/>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Tiek magistrantų, tiek bakalaurų dalyvavimas (pvz., rašant baigiamąjį darbą), moksliniuose tyrimuose, kūrybiškai mąstyti ir</w:t>
            </w:r>
            <w:r w:rsidR="00B710F0">
              <w:rPr>
                <w:rFonts w:ascii="Cambria" w:eastAsia="Calibri" w:hAnsi="Cambria" w:cs="Cambria"/>
                <w:lang w:val="lt-LT" w:eastAsia="lt-LT"/>
              </w:rPr>
              <w:t xml:space="preserve"> viešai pristatyti savo tyrimus</w:t>
            </w:r>
            <w:r w:rsidRPr="00827E4A">
              <w:rPr>
                <w:rFonts w:ascii="Cambria" w:eastAsia="Calibri" w:hAnsi="Cambria" w:cs="Cambria"/>
                <w:lang w:val="lt-LT" w:eastAsia="lt-LT"/>
              </w:rPr>
              <w:t xml:space="preserve"> dar nėra labai populiarus. Atsižvelgiant į tai, aukštoji mokykla galėtų sudaryti dar geresnes sąlygas studentams įsitraukti į mokslinę veiklą (pvz., suteikti metalo spausdinimo galimybę).</w:t>
            </w:r>
          </w:p>
          <w:p w14:paraId="2CE1780D" w14:textId="77777777" w:rsidR="009E6203" w:rsidRPr="00827E4A" w:rsidRDefault="009E6203" w:rsidP="00BC7FBF">
            <w:pPr>
              <w:numPr>
                <w:ilvl w:val="6"/>
                <w:numId w:val="26"/>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Atrodo, kad intelektinės nuosavybės klausimai nėra labai aktyviai sprendžiami. Inovacijų veikla, kurios rezultatas yra intelektinė nuosavybė (pvz., patentų paraiškos), galėtų būti vienas iš būdų skatinti tarptautinį bendradarbiavimą su įmonėmis už Lietuvos ribų.</w:t>
            </w:r>
          </w:p>
        </w:tc>
      </w:tr>
      <w:tr w:rsidR="009E6203" w:rsidRPr="00827E4A" w14:paraId="77895FBE" w14:textId="77777777" w:rsidTr="00BC7FBF">
        <w:trPr>
          <w:trHeight w:val="3061"/>
        </w:trPr>
        <w:tc>
          <w:tcPr>
            <w:tcW w:w="2660" w:type="dxa"/>
            <w:shd w:val="clear" w:color="auto" w:fill="EEECE1"/>
            <w:vAlign w:val="center"/>
          </w:tcPr>
          <w:p w14:paraId="5A924F31"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t>Studentų priėmimas ir parama</w:t>
            </w:r>
          </w:p>
        </w:tc>
        <w:tc>
          <w:tcPr>
            <w:tcW w:w="7194" w:type="dxa"/>
            <w:vAlign w:val="center"/>
          </w:tcPr>
          <w:p w14:paraId="39F4FBDE" w14:textId="1AD1F6BF" w:rsidR="009E6203" w:rsidRPr="00827E4A" w:rsidRDefault="009E6203" w:rsidP="00BC7FBF">
            <w:pPr>
              <w:numPr>
                <w:ilvl w:val="0"/>
                <w:numId w:val="23"/>
              </w:numPr>
              <w:tabs>
                <w:tab w:val="left" w:pos="426"/>
                <w:tab w:val="left" w:pos="1298"/>
                <w:tab w:val="left" w:pos="1985"/>
              </w:tabs>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Labiau skatinti studentų akademinį mobilumą, suteikti jiems visą reikalingą informaciją, išteklius ir konsultacijas šia tema. Bendras studijų kokybės gerinimas, plati reklama ir bendradarbiavimas su užsienio aukštosiomis mokyklomis galėtų</w:t>
            </w:r>
            <w:r w:rsidR="00B710F0">
              <w:rPr>
                <w:rFonts w:ascii="Cambria" w:eastAsia="Calibri" w:hAnsi="Cambria" w:cs="Cambria"/>
                <w:lang w:val="lt-LT" w:eastAsia="lt-LT"/>
              </w:rPr>
              <w:t xml:space="preserve"> padėti padidinti atvykstančių</w:t>
            </w:r>
            <w:r w:rsidRPr="00827E4A">
              <w:rPr>
                <w:rFonts w:ascii="Cambria" w:eastAsia="Calibri" w:hAnsi="Cambria" w:cs="Cambria"/>
                <w:lang w:val="lt-LT" w:eastAsia="lt-LT"/>
              </w:rPr>
              <w:t xml:space="preserve"> studentų skaičių.</w:t>
            </w:r>
          </w:p>
          <w:p w14:paraId="066F512A" w14:textId="77777777" w:rsidR="009E6203" w:rsidRPr="00827E4A" w:rsidRDefault="009E6203" w:rsidP="00BC7FBF">
            <w:pPr>
              <w:numPr>
                <w:ilvl w:val="0"/>
                <w:numId w:val="23"/>
              </w:numPr>
              <w:tabs>
                <w:tab w:val="left" w:pos="426"/>
                <w:tab w:val="left" w:pos="1298"/>
                <w:tab w:val="left" w:pos="1985"/>
              </w:tabs>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Padidinti į pirmosios ir antrosios pakopos studijas priimamų studentų skaičių. Gera studijų kokybė, reklama, perspektyva dirbti perspektyvų mokslinį darbą ir siekti karjeros gali padėti pritraukti daugiau studentų į bioinžinerijos krypties pirmosios ir antrosios pakopos studijas Vilniaus Gedimino technikos universitete.</w:t>
            </w:r>
          </w:p>
        </w:tc>
      </w:tr>
      <w:tr w:rsidR="009E6203" w:rsidRPr="00827E4A" w14:paraId="1D6FFB52" w14:textId="77777777" w:rsidTr="00BC7FBF">
        <w:trPr>
          <w:trHeight w:val="1984"/>
        </w:trPr>
        <w:tc>
          <w:tcPr>
            <w:tcW w:w="2660" w:type="dxa"/>
            <w:shd w:val="clear" w:color="auto" w:fill="EEECE1"/>
            <w:vAlign w:val="center"/>
          </w:tcPr>
          <w:p w14:paraId="6C2AF1A9"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lastRenderedPageBreak/>
              <w:t>Studijavimas, studijų pasiekimai ir absolventų užimtumas</w:t>
            </w:r>
          </w:p>
        </w:tc>
        <w:tc>
          <w:tcPr>
            <w:tcW w:w="7194" w:type="dxa"/>
            <w:vAlign w:val="center"/>
          </w:tcPr>
          <w:p w14:paraId="4685C120" w14:textId="38AF2A9E" w:rsidR="009E6203" w:rsidRPr="00827E4A" w:rsidRDefault="009E6203" w:rsidP="00BC7FBF">
            <w:pPr>
              <w:numPr>
                <w:ilvl w:val="0"/>
                <w:numId w:val="27"/>
              </w:numPr>
              <w:tabs>
                <w:tab w:val="left" w:pos="1298"/>
                <w:tab w:val="left" w:pos="1701"/>
                <w:tab w:val="left" w:pos="1985"/>
              </w:tabs>
              <w:spacing w:after="120" w:line="276" w:lineRule="auto"/>
              <w:ind w:left="459" w:hanging="425"/>
              <w:jc w:val="both"/>
              <w:rPr>
                <w:rFonts w:ascii="Cambria" w:eastAsia="Calibri" w:hAnsi="Cambria" w:cs="Calibri"/>
                <w:lang w:val="lt-LT" w:eastAsia="lt-LT"/>
              </w:rPr>
            </w:pPr>
            <w:r w:rsidRPr="00827E4A">
              <w:rPr>
                <w:rFonts w:ascii="Cambria" w:eastAsia="Calibri" w:hAnsi="Cambria" w:cs="Calibri"/>
                <w:lang w:val="lt-LT" w:eastAsia="lt-LT"/>
              </w:rPr>
              <w:t xml:space="preserve">Išplėsti </w:t>
            </w:r>
            <w:r w:rsidR="00B710F0">
              <w:rPr>
                <w:rFonts w:ascii="Cambria" w:eastAsia="Calibri" w:hAnsi="Cambria" w:cs="Calibri"/>
                <w:lang w:val="lt-LT" w:eastAsia="lt-LT"/>
              </w:rPr>
              <w:t xml:space="preserve">studijų </w:t>
            </w:r>
            <w:r w:rsidRPr="00827E4A">
              <w:rPr>
                <w:rFonts w:ascii="Cambria" w:eastAsia="Calibri" w:hAnsi="Cambria" w:cs="Calibri"/>
                <w:lang w:val="lt-LT" w:eastAsia="lt-LT"/>
              </w:rPr>
              <w:t xml:space="preserve">programą, įtraukiant daugiau medicinos produktų gyvavimo ciklo aspektų. </w:t>
            </w:r>
          </w:p>
          <w:p w14:paraId="144ED5A6" w14:textId="77777777" w:rsidR="009E6203" w:rsidRPr="00827E4A" w:rsidRDefault="009E6203" w:rsidP="00BC7FBF">
            <w:pPr>
              <w:numPr>
                <w:ilvl w:val="0"/>
                <w:numId w:val="27"/>
              </w:numPr>
              <w:tabs>
                <w:tab w:val="left" w:pos="1298"/>
                <w:tab w:val="left" w:pos="1701"/>
                <w:tab w:val="left" w:pos="1985"/>
              </w:tabs>
              <w:spacing w:after="120" w:line="276" w:lineRule="auto"/>
              <w:ind w:left="459" w:hanging="425"/>
              <w:jc w:val="both"/>
              <w:rPr>
                <w:rFonts w:ascii="Cambria" w:eastAsia="Calibri" w:hAnsi="Cambria" w:cs="Calibri"/>
                <w:lang w:val="lt-LT" w:eastAsia="lt-LT"/>
              </w:rPr>
            </w:pPr>
            <w:r w:rsidRPr="00827E4A">
              <w:rPr>
                <w:rFonts w:ascii="Cambria" w:eastAsia="Calibri" w:hAnsi="Cambria" w:cs="Calibri"/>
                <w:lang w:val="lt-LT" w:eastAsia="lt-LT"/>
              </w:rPr>
              <w:t xml:space="preserve">Įdiegti mokymosi veiklą, kuri lavina mąstymo įgūdžius ir sprendimų vertinimą. </w:t>
            </w:r>
          </w:p>
          <w:p w14:paraId="2F66FFCC" w14:textId="77777777" w:rsidR="009E6203" w:rsidRPr="00827E4A" w:rsidRDefault="009E6203" w:rsidP="00BC7FBF">
            <w:pPr>
              <w:numPr>
                <w:ilvl w:val="0"/>
                <w:numId w:val="27"/>
              </w:numPr>
              <w:tabs>
                <w:tab w:val="left" w:pos="1298"/>
                <w:tab w:val="left" w:pos="1701"/>
                <w:tab w:val="left" w:pos="1985"/>
              </w:tabs>
              <w:spacing w:after="120" w:line="276" w:lineRule="auto"/>
              <w:ind w:left="459" w:hanging="425"/>
              <w:jc w:val="both"/>
              <w:rPr>
                <w:rFonts w:ascii="Cambria" w:eastAsia="Calibri" w:hAnsi="Cambria" w:cs="Cambria"/>
                <w:lang w:val="lt-LT" w:eastAsia="lt-LT"/>
              </w:rPr>
            </w:pPr>
            <w:r w:rsidRPr="00827E4A">
              <w:rPr>
                <w:rFonts w:ascii="Cambria" w:eastAsia="Calibri" w:hAnsi="Cambria" w:cs="Calibri"/>
                <w:lang w:val="lt-LT" w:eastAsia="lt-LT"/>
              </w:rPr>
              <w:t>Įvesti užsiėmimus, skirtus grįžtamajam ryšiui apie įvertintą darbą teikti ir paaiškinti.</w:t>
            </w:r>
          </w:p>
        </w:tc>
      </w:tr>
      <w:tr w:rsidR="009E6203" w:rsidRPr="00827E4A" w14:paraId="161ABD48" w14:textId="77777777" w:rsidTr="00BC7FBF">
        <w:trPr>
          <w:trHeight w:val="1134"/>
        </w:trPr>
        <w:tc>
          <w:tcPr>
            <w:tcW w:w="2660" w:type="dxa"/>
            <w:shd w:val="clear" w:color="auto" w:fill="EEECE1"/>
            <w:vAlign w:val="center"/>
          </w:tcPr>
          <w:p w14:paraId="6C0933D5"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t>Dėstytojai</w:t>
            </w:r>
          </w:p>
        </w:tc>
        <w:tc>
          <w:tcPr>
            <w:tcW w:w="7194" w:type="dxa"/>
            <w:vAlign w:val="center"/>
          </w:tcPr>
          <w:p w14:paraId="38165150" w14:textId="77777777" w:rsidR="009E6203" w:rsidRPr="00B62672" w:rsidRDefault="009E6203" w:rsidP="00BC7FBF">
            <w:pPr>
              <w:pStyle w:val="ListParagraph"/>
              <w:numPr>
                <w:ilvl w:val="0"/>
                <w:numId w:val="28"/>
              </w:numPr>
              <w:tabs>
                <w:tab w:val="left" w:pos="459"/>
              </w:tabs>
              <w:spacing w:after="120" w:line="276" w:lineRule="auto"/>
              <w:ind w:left="459" w:hanging="425"/>
              <w:rPr>
                <w:rFonts w:ascii="Cambria" w:eastAsia="Calibri" w:hAnsi="Cambria" w:cs="Cambria"/>
                <w:lang w:val="lt-LT" w:eastAsia="lt-LT"/>
              </w:rPr>
            </w:pPr>
            <w:r w:rsidRPr="00B62672">
              <w:rPr>
                <w:rFonts w:ascii="Cambria" w:eastAsia="Calibri" w:hAnsi="Cambria" w:cs="Cambria"/>
                <w:lang w:val="lt-LT" w:eastAsia="lt-LT"/>
              </w:rPr>
              <w:t>Reikėtų apsvarstyti galimybę parengti įdarbinimo strategijas, kad būtų didesnė dėstytojų, ypač vyresniųjų, išsilavinimo ir darbo patirties įvairovė.</w:t>
            </w:r>
          </w:p>
          <w:p w14:paraId="4B3A494C" w14:textId="77777777" w:rsidR="009E6203" w:rsidRPr="00827E4A" w:rsidRDefault="009E6203" w:rsidP="00BC7FBF">
            <w:pPr>
              <w:tabs>
                <w:tab w:val="left" w:pos="459"/>
              </w:tabs>
              <w:spacing w:after="120" w:line="276" w:lineRule="auto"/>
              <w:ind w:left="459" w:hanging="425"/>
              <w:jc w:val="both"/>
              <w:rPr>
                <w:rFonts w:ascii="Cambria" w:eastAsia="Calibri" w:hAnsi="Cambria" w:cs="Cambria"/>
                <w:lang w:val="lt-LT" w:eastAsia="lt-LT"/>
              </w:rPr>
            </w:pPr>
            <w:r>
              <w:rPr>
                <w:rFonts w:ascii="Cambria" w:eastAsia="Calibri" w:hAnsi="Cambria" w:cs="Cambria"/>
                <w:lang w:val="lt-LT" w:eastAsia="lt-LT"/>
              </w:rPr>
              <w:t xml:space="preserve">2. </w:t>
            </w:r>
            <w:r w:rsidRPr="00827E4A">
              <w:rPr>
                <w:rFonts w:ascii="Cambria" w:eastAsia="Calibri" w:hAnsi="Cambria" w:cs="Cambria"/>
                <w:lang w:val="lt-LT" w:eastAsia="lt-LT"/>
              </w:rPr>
              <w:t>Visas personalas, ypač jaunesnieji personalo nariai, turėtų pasinaudoti tarptautinių vizitų ir patirties įgijimo galimybėmis.</w:t>
            </w:r>
          </w:p>
        </w:tc>
      </w:tr>
      <w:tr w:rsidR="009E6203" w:rsidRPr="00827E4A" w14:paraId="71D441DA" w14:textId="77777777" w:rsidTr="00BC7FBF">
        <w:trPr>
          <w:trHeight w:val="1134"/>
        </w:trPr>
        <w:tc>
          <w:tcPr>
            <w:tcW w:w="2660" w:type="dxa"/>
            <w:shd w:val="clear" w:color="auto" w:fill="EEECE1"/>
            <w:vAlign w:val="center"/>
          </w:tcPr>
          <w:p w14:paraId="1ADC3060"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t>Studijų materialieji ištekliai</w:t>
            </w:r>
          </w:p>
        </w:tc>
        <w:tc>
          <w:tcPr>
            <w:tcW w:w="7194" w:type="dxa"/>
            <w:vAlign w:val="center"/>
          </w:tcPr>
          <w:p w14:paraId="0C3895B7" w14:textId="77777777" w:rsidR="009E6203" w:rsidRPr="00827E4A" w:rsidRDefault="009E6203" w:rsidP="00BC7FBF">
            <w:pPr>
              <w:numPr>
                <w:ilvl w:val="0"/>
                <w:numId w:val="24"/>
              </w:numPr>
              <w:tabs>
                <w:tab w:val="left" w:pos="459"/>
              </w:tabs>
              <w:spacing w:after="20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Universitetas turėtų užtikrinti studentams galimybę naudotis maitinimo įstaigomis, teikiančiomis sveiką ir nebrangų maistą tose vietose, kur studentai mokosi.</w:t>
            </w:r>
          </w:p>
        </w:tc>
      </w:tr>
      <w:tr w:rsidR="009E6203" w:rsidRPr="00827E4A" w14:paraId="31F9B5CC" w14:textId="77777777" w:rsidTr="00BC7FBF">
        <w:trPr>
          <w:trHeight w:val="2494"/>
        </w:trPr>
        <w:tc>
          <w:tcPr>
            <w:tcW w:w="2660" w:type="dxa"/>
            <w:shd w:val="clear" w:color="auto" w:fill="EEECE1"/>
            <w:vAlign w:val="center"/>
          </w:tcPr>
          <w:p w14:paraId="76EF471F" w14:textId="77777777" w:rsidR="009E6203" w:rsidRPr="00827E4A" w:rsidRDefault="009E6203" w:rsidP="00BC7FBF">
            <w:pPr>
              <w:rPr>
                <w:rFonts w:ascii="Cambria" w:eastAsia="Calibri" w:hAnsi="Cambria" w:cs="Cambria"/>
                <w:color w:val="136C73"/>
                <w:lang w:val="lt-LT" w:eastAsia="lt-LT"/>
              </w:rPr>
            </w:pPr>
            <w:r w:rsidRPr="00827E4A">
              <w:rPr>
                <w:rFonts w:ascii="Cambria" w:eastAsia="Calibri" w:hAnsi="Cambria" w:cs="Cambria"/>
                <w:color w:val="136C73"/>
                <w:lang w:val="lt-LT" w:eastAsia="lt-LT"/>
              </w:rPr>
              <w:t>Studijų kokybės valdymas ir viešinimas</w:t>
            </w:r>
          </w:p>
        </w:tc>
        <w:tc>
          <w:tcPr>
            <w:tcW w:w="7194" w:type="dxa"/>
            <w:vAlign w:val="center"/>
          </w:tcPr>
          <w:p w14:paraId="54886513" w14:textId="77777777" w:rsidR="009E6203" w:rsidRPr="00827E4A" w:rsidRDefault="009E6203" w:rsidP="00BC7FBF">
            <w:pPr>
              <w:numPr>
                <w:ilvl w:val="3"/>
                <w:numId w:val="24"/>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Studentų atsiliepimai apie studijų dalykus, mokymo metodus ir dėstytojus šiuo metu yra gana bendro pobūdžio ir turėtų būti konkretizuoti, kad būtų galima geriau orientuotis į aspektus ir dalykus, kuriuos studijų programoje reikia tobulinti.</w:t>
            </w:r>
          </w:p>
          <w:p w14:paraId="0F9A6AA3" w14:textId="77777777" w:rsidR="009E6203" w:rsidRPr="00827E4A" w:rsidRDefault="009E6203" w:rsidP="00BC7FBF">
            <w:pPr>
              <w:numPr>
                <w:ilvl w:val="3"/>
                <w:numId w:val="24"/>
              </w:numPr>
              <w:spacing w:after="120" w:line="276" w:lineRule="auto"/>
              <w:ind w:left="459" w:hanging="425"/>
              <w:jc w:val="both"/>
              <w:rPr>
                <w:rFonts w:ascii="Cambria" w:eastAsia="Calibri" w:hAnsi="Cambria" w:cs="Cambria"/>
                <w:lang w:val="lt-LT" w:eastAsia="lt-LT"/>
              </w:rPr>
            </w:pPr>
            <w:r w:rsidRPr="00827E4A">
              <w:rPr>
                <w:rFonts w:ascii="Cambria" w:eastAsia="Calibri" w:hAnsi="Cambria" w:cs="Cambria"/>
                <w:lang w:val="lt-LT" w:eastAsia="lt-LT"/>
              </w:rPr>
              <w:t>Atrodo, kad šiuo metu studentų dalyvavimas grįžtamojo ryšio procese nėra privalomas, todėl kyla klausimas, kaip aukštoji mokykla užtikrina, kad kuo daugiau studentų dalyvautų apklausoje (-ose).</w:t>
            </w:r>
          </w:p>
        </w:tc>
      </w:tr>
    </w:tbl>
    <w:p w14:paraId="3B994E0D" w14:textId="77777777" w:rsidR="009E6203" w:rsidRDefault="009E6203" w:rsidP="009E6203">
      <w:pPr>
        <w:keepNext/>
        <w:keepLines/>
        <w:tabs>
          <w:tab w:val="left" w:pos="680"/>
        </w:tabs>
        <w:spacing w:before="240" w:after="240"/>
        <w:jc w:val="center"/>
        <w:outlineLvl w:val="1"/>
        <w:rPr>
          <w:rFonts w:ascii="Cambria" w:hAnsi="Cambria"/>
          <w:b/>
          <w:bCs/>
          <w:caps/>
          <w:color w:val="136C73"/>
          <w:sz w:val="36"/>
          <w:szCs w:val="26"/>
          <w:lang w:val="lt-LT" w:eastAsia="lt-LT"/>
        </w:rPr>
      </w:pPr>
    </w:p>
    <w:p w14:paraId="03540E7C" w14:textId="77777777" w:rsidR="009E6203" w:rsidRDefault="009E6203" w:rsidP="009E6203">
      <w:pPr>
        <w:keepNext/>
        <w:keepLines/>
        <w:tabs>
          <w:tab w:val="left" w:pos="680"/>
        </w:tabs>
        <w:spacing w:before="240" w:after="240"/>
        <w:jc w:val="center"/>
        <w:outlineLvl w:val="1"/>
        <w:rPr>
          <w:rFonts w:ascii="Cambria" w:hAnsi="Cambria"/>
          <w:b/>
          <w:bCs/>
          <w:caps/>
          <w:color w:val="136C73"/>
          <w:sz w:val="36"/>
          <w:szCs w:val="26"/>
          <w:lang w:val="lt-LT" w:eastAsia="lt-LT"/>
        </w:rPr>
      </w:pPr>
    </w:p>
    <w:p w14:paraId="4ABC62A5" w14:textId="77777777" w:rsidR="009E6203" w:rsidRDefault="009E6203" w:rsidP="009E6203">
      <w:pPr>
        <w:keepNext/>
        <w:keepLines/>
        <w:tabs>
          <w:tab w:val="left" w:pos="680"/>
        </w:tabs>
        <w:spacing w:before="240" w:after="240"/>
        <w:jc w:val="center"/>
        <w:outlineLvl w:val="1"/>
        <w:rPr>
          <w:rFonts w:ascii="Cambria" w:hAnsi="Cambria"/>
          <w:b/>
          <w:bCs/>
          <w:caps/>
          <w:color w:val="136C73"/>
          <w:sz w:val="36"/>
          <w:szCs w:val="26"/>
          <w:lang w:val="lt-LT" w:eastAsia="lt-LT"/>
        </w:rPr>
      </w:pPr>
    </w:p>
    <w:p w14:paraId="3821253E" w14:textId="77777777" w:rsidR="009E6203" w:rsidRDefault="009E6203" w:rsidP="009E6203">
      <w:pPr>
        <w:keepNext/>
        <w:keepLines/>
        <w:tabs>
          <w:tab w:val="left" w:pos="680"/>
        </w:tabs>
        <w:spacing w:before="240" w:after="240"/>
        <w:jc w:val="center"/>
        <w:outlineLvl w:val="1"/>
        <w:rPr>
          <w:rFonts w:ascii="Cambria" w:hAnsi="Cambria"/>
          <w:b/>
          <w:bCs/>
          <w:caps/>
          <w:color w:val="136C73"/>
          <w:sz w:val="36"/>
          <w:szCs w:val="26"/>
          <w:lang w:val="lt-LT" w:eastAsia="lt-LT"/>
        </w:rPr>
      </w:pPr>
    </w:p>
    <w:p w14:paraId="6A9E8912" w14:textId="77777777" w:rsidR="009E6203" w:rsidRDefault="009E6203" w:rsidP="009E6203">
      <w:pPr>
        <w:keepNext/>
        <w:keepLines/>
        <w:tabs>
          <w:tab w:val="left" w:pos="680"/>
        </w:tabs>
        <w:spacing w:before="240" w:after="240"/>
        <w:jc w:val="center"/>
        <w:outlineLvl w:val="1"/>
        <w:rPr>
          <w:rFonts w:ascii="Cambria" w:hAnsi="Cambria"/>
          <w:b/>
          <w:bCs/>
          <w:caps/>
          <w:color w:val="136C73"/>
          <w:sz w:val="36"/>
          <w:szCs w:val="26"/>
          <w:lang w:val="lt-LT" w:eastAsia="lt-LT"/>
        </w:rPr>
      </w:pPr>
    </w:p>
    <w:p w14:paraId="5EFD77AA" w14:textId="77777777" w:rsidR="009E6203" w:rsidRDefault="009E6203" w:rsidP="009E6203">
      <w:pPr>
        <w:keepNext/>
        <w:keepLines/>
        <w:tabs>
          <w:tab w:val="left" w:pos="680"/>
        </w:tabs>
        <w:spacing w:before="240" w:after="240"/>
        <w:jc w:val="center"/>
        <w:outlineLvl w:val="1"/>
        <w:rPr>
          <w:rFonts w:ascii="Cambria" w:hAnsi="Cambria"/>
          <w:b/>
          <w:bCs/>
          <w:caps/>
          <w:color w:val="136C73"/>
          <w:sz w:val="36"/>
          <w:szCs w:val="26"/>
          <w:lang w:val="lt-LT" w:eastAsia="lt-LT"/>
        </w:rPr>
      </w:pPr>
    </w:p>
    <w:p w14:paraId="1EB5D541" w14:textId="7F0C6D5C" w:rsidR="000D4EE3" w:rsidRDefault="000D4EE3" w:rsidP="000D4EE3">
      <w:pPr>
        <w:keepNext/>
        <w:keepLines/>
        <w:tabs>
          <w:tab w:val="left" w:pos="680"/>
        </w:tabs>
        <w:spacing w:before="240" w:after="240"/>
        <w:jc w:val="center"/>
        <w:outlineLvl w:val="1"/>
        <w:rPr>
          <w:rFonts w:ascii="Cambria" w:hAnsi="Cambria"/>
          <w:b/>
          <w:bCs/>
          <w:caps/>
          <w:color w:val="136C73"/>
          <w:sz w:val="36"/>
          <w:szCs w:val="26"/>
          <w:lang w:val="lt-LT" w:eastAsia="lt-LT"/>
        </w:rPr>
      </w:pPr>
    </w:p>
    <w:p w14:paraId="2ABA6D2A" w14:textId="77777777" w:rsidR="009E6203" w:rsidRDefault="009E6203" w:rsidP="000D4EE3">
      <w:pPr>
        <w:keepNext/>
        <w:keepLines/>
        <w:tabs>
          <w:tab w:val="left" w:pos="680"/>
        </w:tabs>
        <w:spacing w:before="240" w:after="240"/>
        <w:jc w:val="center"/>
        <w:outlineLvl w:val="1"/>
        <w:rPr>
          <w:rFonts w:ascii="Cambria" w:hAnsi="Cambria"/>
          <w:b/>
          <w:bCs/>
          <w:caps/>
          <w:color w:val="136C73"/>
          <w:sz w:val="36"/>
          <w:szCs w:val="26"/>
          <w:lang w:val="lt-LT" w:eastAsia="lt-LT"/>
        </w:rPr>
      </w:pPr>
    </w:p>
    <w:p w14:paraId="4CFAB21C" w14:textId="77777777" w:rsidR="009E6203" w:rsidRPr="00C72D32" w:rsidRDefault="009E6203" w:rsidP="000D4EE3">
      <w:pPr>
        <w:keepNext/>
        <w:keepLines/>
        <w:tabs>
          <w:tab w:val="left" w:pos="680"/>
        </w:tabs>
        <w:spacing w:before="240" w:after="240"/>
        <w:jc w:val="center"/>
        <w:outlineLvl w:val="1"/>
        <w:rPr>
          <w:rFonts w:ascii="Cambria" w:hAnsi="Cambria"/>
          <w:b/>
          <w:bCs/>
          <w:caps/>
          <w:color w:val="136C73"/>
          <w:sz w:val="36"/>
          <w:szCs w:val="26"/>
          <w:lang w:val="lt-LT" w:eastAsia="lt-LT"/>
        </w:rPr>
      </w:pPr>
    </w:p>
    <w:p w14:paraId="40C2E1AD" w14:textId="77777777" w:rsidR="000D4EE3" w:rsidRPr="00C72D32" w:rsidRDefault="000D4EE3" w:rsidP="000D4EE3">
      <w:pPr>
        <w:ind w:firstLine="360"/>
        <w:rPr>
          <w:rFonts w:ascii="Cambria" w:eastAsia="Calibri" w:hAnsi="Cambria"/>
          <w:color w:val="632423"/>
          <w:lang w:val="lt-LT" w:eastAsia="lt-LT"/>
        </w:rPr>
      </w:pPr>
    </w:p>
    <w:p w14:paraId="699569BC" w14:textId="77777777" w:rsidR="00827E4A" w:rsidRDefault="00827E4A" w:rsidP="00827E4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C72D32">
        <w:rPr>
          <w:rFonts w:ascii="Cambria" w:hAnsi="Cambria"/>
          <w:b/>
          <w:bCs/>
          <w:caps/>
          <w:color w:val="136C73"/>
          <w:sz w:val="36"/>
          <w:szCs w:val="26"/>
          <w:lang w:val="lt-LT" w:eastAsia="lt-LT"/>
        </w:rPr>
        <w:lastRenderedPageBreak/>
        <w:t>VI. Santrauka</w:t>
      </w:r>
    </w:p>
    <w:p w14:paraId="33EEFEB3" w14:textId="02805614" w:rsidR="00827E4A" w:rsidRPr="00827E4A" w:rsidRDefault="00827E4A" w:rsidP="00B710F0">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Toliau pateikiama ekspertų komisijos išvadų</w:t>
      </w:r>
      <w:r w:rsidR="00B11312">
        <w:rPr>
          <w:rFonts w:ascii="Cambria" w:eastAsia="Calibri" w:hAnsi="Cambria" w:cs="Cambria"/>
          <w:lang w:val="lt-LT" w:eastAsia="lt-LT"/>
        </w:rPr>
        <w:t xml:space="preserve"> santrauka, parengta remiantis s</w:t>
      </w:r>
      <w:r w:rsidR="00B710F0">
        <w:rPr>
          <w:rFonts w:ascii="Cambria" w:eastAsia="Calibri" w:hAnsi="Cambria" w:cs="Cambria"/>
          <w:lang w:val="lt-LT" w:eastAsia="lt-LT"/>
        </w:rPr>
        <w:t>avianalizės suvestine</w:t>
      </w:r>
      <w:r w:rsidRPr="00827E4A">
        <w:rPr>
          <w:rFonts w:ascii="Cambria" w:eastAsia="Calibri" w:hAnsi="Cambria" w:cs="Cambria"/>
          <w:lang w:val="lt-LT" w:eastAsia="lt-LT"/>
        </w:rPr>
        <w:t xml:space="preserve"> ir pokalbiais su Vilniaus Gedimino technikos universiteto (toliau – Vilniaus technikos universitetas, Universitetas) administracija (vyresniąja vadovybe ir fakultetų administracija), darbuotojais, atsakingais už </w:t>
      </w:r>
      <w:r w:rsidR="00B11312" w:rsidRPr="00B11312">
        <w:rPr>
          <w:rFonts w:ascii="Cambria" w:eastAsia="Calibri" w:hAnsi="Cambria" w:cs="Cambria"/>
          <w:lang w:val="lt-LT" w:eastAsia="lt-LT"/>
        </w:rPr>
        <w:t>savianalizės suvestin</w:t>
      </w:r>
      <w:r w:rsidR="00B11312">
        <w:rPr>
          <w:rFonts w:ascii="Cambria" w:eastAsia="Calibri" w:hAnsi="Cambria" w:cs="Cambria"/>
          <w:lang w:val="lt-LT" w:eastAsia="lt-LT"/>
        </w:rPr>
        <w:t>ės</w:t>
      </w:r>
      <w:r w:rsidRPr="00827E4A">
        <w:rPr>
          <w:rFonts w:ascii="Cambria" w:eastAsia="Calibri" w:hAnsi="Cambria" w:cs="Cambria"/>
          <w:lang w:val="lt-LT" w:eastAsia="lt-LT"/>
        </w:rPr>
        <w:t xml:space="preserve"> parengimą, dėstytojais ir suinteresuotosiomis šalimis (studentais, absolventais, darbdaviais, socialiniais partneriais). Ek</w:t>
      </w:r>
      <w:r w:rsidR="00B11312">
        <w:rPr>
          <w:rFonts w:ascii="Cambria" w:eastAsia="Calibri" w:hAnsi="Cambria" w:cs="Cambria"/>
          <w:lang w:val="lt-LT" w:eastAsia="lt-LT"/>
        </w:rPr>
        <w:t>spertų grupė teigiamai vertina b</w:t>
      </w:r>
      <w:r w:rsidRPr="00827E4A">
        <w:rPr>
          <w:rFonts w:ascii="Cambria" w:eastAsia="Calibri" w:hAnsi="Cambria" w:cs="Cambria"/>
          <w:lang w:val="lt-LT" w:eastAsia="lt-LT"/>
        </w:rPr>
        <w:t>ioinžinerijos studijų krypties pirmosios pakopos ir antrosio</w:t>
      </w:r>
      <w:r w:rsidR="00B710F0">
        <w:rPr>
          <w:rFonts w:ascii="Cambria" w:eastAsia="Calibri" w:hAnsi="Cambria" w:cs="Cambria"/>
          <w:lang w:val="lt-LT" w:eastAsia="lt-LT"/>
        </w:rPr>
        <w:t>s pakopų studijų programų</w:t>
      </w:r>
      <w:r w:rsidRPr="00827E4A">
        <w:rPr>
          <w:rFonts w:ascii="Cambria" w:eastAsia="Calibri" w:hAnsi="Cambria" w:cs="Cambria"/>
          <w:lang w:val="lt-LT" w:eastAsia="lt-LT"/>
        </w:rPr>
        <w:t xml:space="preserve"> įgyvendinimą Vilniaus Gedimino technikos universitete – visos sritys įvertintos gerai arba labai gerai.</w:t>
      </w:r>
    </w:p>
    <w:p w14:paraId="72ADDD49" w14:textId="77777777" w:rsidR="00827E4A" w:rsidRPr="00827E4A" w:rsidRDefault="00827E4A" w:rsidP="00B710F0">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Vilniaus technikos universitete dėstomos dvi studijų programos, priskiriamos bioinžinerijos studijų krypčiai: pirmosios pakopos Biomechanikos studijų programa (valstybinis kodas – 6121EX034) (toliau - pirmosios pakopos programa) ir antrosios pakopos Biomedicininės inžinerijos studijų programa (valstybinis kodas – 6211EX032) (toliau – antrosios pakopos programa). Abi studijų programos sulaukė labai gerų dabartinių studentų, absolventų ir darbdavių vertinimų. Bioinžinerija yra labai plati ir daugiadalykė sritis, ir nors abi programos apima visas esmines sritis, galima sakyti, kad abiejose programose daugiau dėmesio skiriama biomechanikai. Atsižvelgiant į tai, pirmosios pakopos programos pavadinimas „Biomechanika“ neatitinka mokymo programos apimties; labiau tiktų pavadinimas „Biomedicinos inžinerija“.</w:t>
      </w:r>
    </w:p>
    <w:p w14:paraId="130F2592" w14:textId="2B016F6F" w:rsidR="00827E4A" w:rsidRPr="00827E4A" w:rsidRDefault="00827E4A" w:rsidP="00B710F0">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Tiek p</w:t>
      </w:r>
      <w:r w:rsidR="00B710F0">
        <w:rPr>
          <w:rFonts w:ascii="Cambria" w:eastAsia="Calibri" w:hAnsi="Cambria" w:cs="Cambria"/>
          <w:lang w:val="lt-LT" w:eastAsia="lt-LT"/>
        </w:rPr>
        <w:t>irmosios, tiek antrosios pakopų</w:t>
      </w:r>
      <w:r w:rsidRPr="00827E4A">
        <w:rPr>
          <w:rFonts w:ascii="Cambria" w:eastAsia="Calibri" w:hAnsi="Cambria" w:cs="Cambria"/>
          <w:lang w:val="lt-LT" w:eastAsia="lt-LT"/>
        </w:rPr>
        <w:t xml:space="preserve"> studijų programos atitinka socialinį ir ekonominį biomedicinos inžinierių poreikį Lietuvoje ir kitose šalyse, o jų </w:t>
      </w:r>
      <w:r w:rsidR="008811CA">
        <w:rPr>
          <w:rFonts w:ascii="Cambria" w:eastAsia="Calibri" w:hAnsi="Cambria" w:cs="Cambria"/>
          <w:lang w:val="lt-LT" w:eastAsia="lt-LT"/>
        </w:rPr>
        <w:t>turinys yra tinkamas</w:t>
      </w:r>
      <w:r w:rsidRPr="00827E4A">
        <w:rPr>
          <w:rFonts w:ascii="Cambria" w:eastAsia="Calibri" w:hAnsi="Cambria" w:cs="Cambria"/>
          <w:lang w:val="lt-LT" w:eastAsia="lt-LT"/>
        </w:rPr>
        <w:t>, nes užtikrina gerą absolventų pasirengimą darbinei veiklai. Mokymasis vyksta per įvairias veiklas. Programose palaikomi puikūs ryšiai su pramonės partneriais, kurie išnaudojami visose programose, o ypač vykdant mokslinių tyrimų projektus. Darbdaviai teigiamai įvertino absolventų tinkamumą įsidarbinti biomedicinos srityje. Šiuo metu pirmosios pakopos programa, kuri daugiausia dėstoma lietuvių kalba, nerengia studentų darbui už Lietuvos ribų, tačiau netrukus planuojama įdiegti jos versiją anglų kalba.</w:t>
      </w:r>
    </w:p>
    <w:p w14:paraId="472102D1" w14:textId="12A0FF36" w:rsidR="00827E4A" w:rsidRPr="00827E4A" w:rsidRDefault="00827E4A" w:rsidP="008811CA">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Nėra abejonių, kad dėstytojai nuolat seka šios srities naujoves. Nors pajamos iš mokslinių tyrimų yra palyginti nedidelės, o apdovanojimus gauna tik dalis darbuotojų, tačiau dauguma darbuotojų dalyvauja moksliniuose tyrimuose ir publikuoja savo darbus nacionaliniuose ir tarptautiniuose žurnaluose. Kaip minėta, darbuotojai palaiko puikius ryšius su pramonės įmonėmis ir naujausios žinios apie komercinę veiklą šioje srityje yra tiesiogiai įtraukiamos į mokymo procesą.</w:t>
      </w:r>
    </w:p>
    <w:p w14:paraId="5875EF48" w14:textId="013B68AE" w:rsidR="00827E4A" w:rsidRPr="00827E4A" w:rsidRDefault="00827E4A" w:rsidP="008811CA">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Šiuo metu tiek p</w:t>
      </w:r>
      <w:r w:rsidR="008811CA">
        <w:rPr>
          <w:rFonts w:ascii="Cambria" w:eastAsia="Calibri" w:hAnsi="Cambria" w:cs="Cambria"/>
          <w:lang w:val="lt-LT" w:eastAsia="lt-LT"/>
        </w:rPr>
        <w:t>irmosios, tiek antrosios pakopų</w:t>
      </w:r>
      <w:r w:rsidRPr="00827E4A">
        <w:rPr>
          <w:rFonts w:ascii="Cambria" w:eastAsia="Calibri" w:hAnsi="Cambria" w:cs="Cambria"/>
          <w:lang w:val="lt-LT" w:eastAsia="lt-LT"/>
        </w:rPr>
        <w:t xml:space="preserve"> programose studentų skaičius yra nedidelis. Tam yra daug priežasčių, įskaitant nacionalines studentų įdarbinimo tendencijas ir COVID epidemijos padarini</w:t>
      </w:r>
      <w:r w:rsidR="007935F1">
        <w:rPr>
          <w:rFonts w:ascii="Cambria" w:eastAsia="Calibri" w:hAnsi="Cambria" w:cs="Cambria"/>
          <w:lang w:val="lt-LT" w:eastAsia="lt-LT"/>
        </w:rPr>
        <w:t>us</w:t>
      </w:r>
      <w:r w:rsidRPr="00827E4A">
        <w:rPr>
          <w:rFonts w:ascii="Cambria" w:eastAsia="Calibri" w:hAnsi="Cambria" w:cs="Cambria"/>
          <w:lang w:val="lt-LT" w:eastAsia="lt-LT"/>
        </w:rPr>
        <w:t xml:space="preserve">. Tačiau studentų skaičius artėja prie kritinio lygio. Universitetas labai remia abi programas; tikimasi, kad naujoji pirmosios pakopos programos versija anglų kalba sudarys galimybę priimti daugiau potencialių studentų. Universitetas gerai rūpinasi atvykstančiais studentais. Universitete organizuojama daugybė pagalbinių veiklų, tarp kurių netrūksta įvairių sporto ir socialinės veiklos rūšių. Tačiau studentų, ypač iš pirmosios pakopos programos iškrenta daug, ir tai, atrodo, susiję su tuo, kad studentai pernelyg daug laiko praleidžia dirbdami apmokamą darbą. Nei programos, nei </w:t>
      </w:r>
      <w:r w:rsidR="008811CA">
        <w:rPr>
          <w:rFonts w:ascii="Cambria" w:eastAsia="Calibri" w:hAnsi="Cambria" w:cs="Cambria"/>
          <w:lang w:val="lt-LT" w:eastAsia="lt-LT"/>
        </w:rPr>
        <w:t>U</w:t>
      </w:r>
      <w:r w:rsidRPr="00827E4A">
        <w:rPr>
          <w:rFonts w:ascii="Cambria" w:eastAsia="Calibri" w:hAnsi="Cambria" w:cs="Cambria"/>
          <w:lang w:val="lt-LT" w:eastAsia="lt-LT"/>
        </w:rPr>
        <w:t>niversitetas nėra kalti dėl šios situacijos, tačiau ji gali būti susijusi su išlaidomis (ir galimybėmis įsidarbinti) Vilniuje. Programos dalyvauja „Erazmus“ programoje, tačiau, nors į jas atvyksta daug studentų, mobilumo galimybėmis naudojamasi menkai.</w:t>
      </w:r>
    </w:p>
    <w:p w14:paraId="3F697173" w14:textId="31164C1A" w:rsidR="00827E4A" w:rsidRPr="00827E4A" w:rsidRDefault="00827E4A" w:rsidP="008811CA">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Kaip jau minėta</w:t>
      </w:r>
      <w:r w:rsidR="008811CA">
        <w:rPr>
          <w:rFonts w:ascii="Cambria" w:eastAsia="Calibri" w:hAnsi="Cambria" w:cs="Cambria"/>
          <w:lang w:val="lt-LT" w:eastAsia="lt-LT"/>
        </w:rPr>
        <w:t>, pirmosios ir antrosios pakopų</w:t>
      </w:r>
      <w:r w:rsidRPr="00827E4A">
        <w:rPr>
          <w:rFonts w:ascii="Cambria" w:eastAsia="Calibri" w:hAnsi="Cambria" w:cs="Cambria"/>
          <w:lang w:val="lt-LT" w:eastAsia="lt-LT"/>
        </w:rPr>
        <w:t xml:space="preserve"> studijų programų absolventų darbdaviai labai gerai vertina šių programų kokybę. Jie ypač gerai įvertino studentų gebėjimą ir lankstumą greitai išmokti naujų įgūdžių, jų pasitikėjimą savimi ir komunikacinius įgūdžius, bai</w:t>
      </w:r>
      <w:r w:rsidR="008811CA">
        <w:rPr>
          <w:rFonts w:ascii="Cambria" w:eastAsia="Calibri" w:hAnsi="Cambria" w:cs="Cambria"/>
          <w:lang w:val="lt-LT" w:eastAsia="lt-LT"/>
        </w:rPr>
        <w:t>gtinių elementų analizės įgūdžius</w:t>
      </w:r>
      <w:r w:rsidRPr="00827E4A">
        <w:rPr>
          <w:rFonts w:ascii="Cambria" w:eastAsia="Calibri" w:hAnsi="Cambria" w:cs="Cambria"/>
          <w:lang w:val="lt-LT" w:eastAsia="lt-LT"/>
        </w:rPr>
        <w:t xml:space="preserve">, 3D spausdinimo ir elektronikos įgūdžius. Pasak jų, dar galima tobulinti mąstymo ir problemų sprendimo įgūdžius ir gerinti viso gaminio gyvavimo ciklo (o ne tik projektavimo, reglamentavimo </w:t>
      </w:r>
      <w:r w:rsidR="007935F1">
        <w:rPr>
          <w:rFonts w:ascii="Cambria" w:eastAsia="Calibri" w:hAnsi="Cambria" w:cs="Cambria"/>
          <w:lang w:val="lt-LT" w:eastAsia="lt-LT"/>
        </w:rPr>
        <w:t>arba</w:t>
      </w:r>
      <w:r w:rsidRPr="00827E4A">
        <w:rPr>
          <w:rFonts w:ascii="Cambria" w:eastAsia="Calibri" w:hAnsi="Cambria" w:cs="Cambria"/>
          <w:lang w:val="lt-LT" w:eastAsia="lt-LT"/>
        </w:rPr>
        <w:t xml:space="preserve"> priėmimo bei gamybos etapų) suvokimą.</w:t>
      </w:r>
    </w:p>
    <w:p w14:paraId="4B322FE1" w14:textId="77777777" w:rsidR="00827E4A" w:rsidRPr="00827E4A" w:rsidRDefault="00827E4A" w:rsidP="008811CA">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lastRenderedPageBreak/>
        <w:t>Dėstytojai yra tinkamos kvalifikacijos ir entuziastingi, jie tinkamai paskirti taip, kad abiejų programų dalykai būtų dėstomi atitinkamo dydžio auditorijose. Akademiniam mobilumui teikiama gera parama, o Biomechanikos inžinerijos katedrą (toliau – Katedra) sieja tarptautinė partnerystė su dviem aukštojo mokslo įstaigomis, kurios reikšmingai prisideda prie dėstymo įvairovės.</w:t>
      </w:r>
    </w:p>
    <w:p w14:paraId="5F63A22E" w14:textId="4968B968" w:rsidR="00827E4A" w:rsidRPr="00827E4A" w:rsidRDefault="00827E4A" w:rsidP="008811CA">
      <w:pPr>
        <w:spacing w:after="120"/>
        <w:ind w:firstLine="426"/>
        <w:jc w:val="both"/>
        <w:rPr>
          <w:rFonts w:ascii="Cambria" w:eastAsia="Calibri" w:hAnsi="Cambria" w:cs="Cambria"/>
          <w:lang w:val="lt-LT" w:eastAsia="lt-LT"/>
        </w:rPr>
      </w:pPr>
      <w:r w:rsidRPr="00827E4A">
        <w:rPr>
          <w:rFonts w:ascii="Cambria" w:eastAsia="Calibri" w:hAnsi="Cambria" w:cs="Cambria"/>
          <w:lang w:val="lt-LT" w:eastAsia="lt-LT"/>
        </w:rPr>
        <w:t xml:space="preserve">Šiuo metu mokymo priemonės yra geros, studentai ir pramonės partneriai teigiamai vertina laboratorijų įrangą. Baigiamas statyti naujas </w:t>
      </w:r>
      <w:r w:rsidR="008811CA">
        <w:rPr>
          <w:rFonts w:ascii="Cambria" w:eastAsia="Calibri" w:hAnsi="Cambria" w:cs="Cambria"/>
          <w:lang w:val="lt-LT" w:eastAsia="lt-LT"/>
        </w:rPr>
        <w:t>Mechanikos fakulteto (toliau - F</w:t>
      </w:r>
      <w:r w:rsidRPr="00827E4A">
        <w:rPr>
          <w:rFonts w:ascii="Cambria" w:eastAsia="Calibri" w:hAnsi="Cambria" w:cs="Cambria"/>
          <w:lang w:val="lt-LT" w:eastAsia="lt-LT"/>
        </w:rPr>
        <w:t>akultetas) pastatas. Katedrai persikėlus į naująją erdvę bus ne tik pagerinta ir modernizuota mokymo infrastruktūra, bet ir išspręstos dabartinės pr</w:t>
      </w:r>
      <w:r w:rsidR="008811CA">
        <w:rPr>
          <w:rFonts w:ascii="Cambria" w:eastAsia="Calibri" w:hAnsi="Cambria" w:cs="Cambria"/>
          <w:lang w:val="lt-LT" w:eastAsia="lt-LT"/>
        </w:rPr>
        <w:t>oblemos, susijusios su fiziniu F</w:t>
      </w:r>
      <w:r w:rsidRPr="00827E4A">
        <w:rPr>
          <w:rFonts w:ascii="Cambria" w:eastAsia="Calibri" w:hAnsi="Cambria" w:cs="Cambria"/>
          <w:lang w:val="lt-LT" w:eastAsia="lt-LT"/>
        </w:rPr>
        <w:t>akulteto pas</w:t>
      </w:r>
      <w:r w:rsidR="008811CA">
        <w:rPr>
          <w:rFonts w:ascii="Cambria" w:eastAsia="Calibri" w:hAnsi="Cambria" w:cs="Cambria"/>
          <w:lang w:val="lt-LT" w:eastAsia="lt-LT"/>
        </w:rPr>
        <w:t>tato atskyrimu nuo pagrindinės U</w:t>
      </w:r>
      <w:r w:rsidRPr="00827E4A">
        <w:rPr>
          <w:rFonts w:ascii="Cambria" w:eastAsia="Calibri" w:hAnsi="Cambria" w:cs="Cambria"/>
          <w:lang w:val="lt-LT" w:eastAsia="lt-LT"/>
        </w:rPr>
        <w:t>niversiteto teritorijos.</w:t>
      </w:r>
    </w:p>
    <w:p w14:paraId="0C519794" w14:textId="3EBDE369" w:rsidR="00827E4A" w:rsidRPr="00827E4A" w:rsidRDefault="008811CA" w:rsidP="00827E4A">
      <w:pPr>
        <w:spacing w:after="120"/>
        <w:jc w:val="both"/>
        <w:rPr>
          <w:rFonts w:ascii="Cambria" w:eastAsia="Calibri" w:hAnsi="Cambria" w:cs="Cambria"/>
          <w:lang w:val="lt-LT" w:eastAsia="lt-LT"/>
        </w:rPr>
      </w:pPr>
      <w:r>
        <w:rPr>
          <w:rFonts w:ascii="Cambria" w:eastAsia="Calibri" w:hAnsi="Cambria" w:cs="Cambria"/>
          <w:lang w:val="lt-LT" w:eastAsia="lt-LT"/>
        </w:rPr>
        <w:t>Universitete, Fakultete ir K</w:t>
      </w:r>
      <w:r w:rsidR="00827E4A" w:rsidRPr="00827E4A">
        <w:rPr>
          <w:rFonts w:ascii="Cambria" w:eastAsia="Calibri" w:hAnsi="Cambria" w:cs="Cambria"/>
          <w:lang w:val="lt-LT" w:eastAsia="lt-LT"/>
        </w:rPr>
        <w:t xml:space="preserve">atedroje įdiegta labai gera kokybės kontrolės ir valdymo tvarka.  Sistemingai stengiamasi gauti iš studentų grįžtamąjį ryšį, kuris įtraukiamas </w:t>
      </w:r>
      <w:r>
        <w:rPr>
          <w:rFonts w:ascii="Cambria" w:eastAsia="Calibri" w:hAnsi="Cambria" w:cs="Cambria"/>
          <w:lang w:val="lt-LT" w:eastAsia="lt-LT"/>
        </w:rPr>
        <w:t>į pirmosios ir antrosios pakopų</w:t>
      </w:r>
      <w:r w:rsidR="00827E4A" w:rsidRPr="00827E4A">
        <w:rPr>
          <w:rFonts w:ascii="Cambria" w:eastAsia="Calibri" w:hAnsi="Cambria" w:cs="Cambria"/>
          <w:lang w:val="lt-LT" w:eastAsia="lt-LT"/>
        </w:rPr>
        <w:t xml:space="preserve"> programų peržiūros procesus. Peržiūros procese dalyvauja ir kitos suinteresuotosios šalys: dėstytojai, darbdaviai ir absolventai.</w:t>
      </w:r>
    </w:p>
    <w:p w14:paraId="3130CC94" w14:textId="30492E6B" w:rsidR="00827E4A" w:rsidRPr="00827E4A" w:rsidRDefault="00827E4A" w:rsidP="00827E4A">
      <w:pPr>
        <w:spacing w:after="120"/>
        <w:jc w:val="both"/>
        <w:rPr>
          <w:rFonts w:ascii="Cambria" w:eastAsia="Calibri" w:hAnsi="Cambria" w:cs="Cambria"/>
          <w:lang w:val="lt-LT" w:eastAsia="lt-LT"/>
        </w:rPr>
      </w:pPr>
      <w:r w:rsidRPr="00827E4A">
        <w:rPr>
          <w:rFonts w:ascii="Cambria" w:eastAsia="Calibri" w:hAnsi="Cambria" w:cs="Cambria"/>
          <w:lang w:val="lt-LT" w:eastAsia="lt-LT"/>
        </w:rPr>
        <w:t>Apibendrinant galima teigti, kad tiek pirmosios, tiek antrosi</w:t>
      </w:r>
      <w:r w:rsidR="008811CA">
        <w:rPr>
          <w:rFonts w:ascii="Cambria" w:eastAsia="Calibri" w:hAnsi="Cambria" w:cs="Cambria"/>
          <w:lang w:val="lt-LT" w:eastAsia="lt-LT"/>
        </w:rPr>
        <w:t>os pakopų</w:t>
      </w:r>
      <w:r w:rsidRPr="00827E4A">
        <w:rPr>
          <w:rFonts w:ascii="Cambria" w:eastAsia="Calibri" w:hAnsi="Cambria" w:cs="Cambria"/>
          <w:lang w:val="lt-LT" w:eastAsia="lt-LT"/>
        </w:rPr>
        <w:t xml:space="preserve"> programos yra labai geros. Jos suteikia studentams naudingos ir įvairios patirties, o jų absolventai įgyja aukštą kvalifikaciją ir įgūdžius, reikalingus įsidarbinti biomedicinos technologijų sektoriuje.  </w:t>
      </w:r>
    </w:p>
    <w:p w14:paraId="38250C01" w14:textId="4AB6FFDE" w:rsidR="00827E4A" w:rsidRPr="00827E4A" w:rsidRDefault="00827E4A" w:rsidP="00827E4A">
      <w:pPr>
        <w:spacing w:after="120"/>
        <w:jc w:val="both"/>
        <w:rPr>
          <w:rFonts w:ascii="Cambria" w:eastAsia="Calibri" w:hAnsi="Cambria" w:cs="Cambria"/>
          <w:lang w:val="lt-LT" w:eastAsia="lt-LT"/>
        </w:rPr>
      </w:pPr>
      <w:r w:rsidRPr="00827E4A">
        <w:rPr>
          <w:rFonts w:ascii="Cambria" w:eastAsia="Calibri" w:hAnsi="Cambria" w:cs="Cambria"/>
          <w:lang w:val="lt-LT" w:eastAsia="lt-LT"/>
        </w:rPr>
        <w:t>Ekspertų komisija dėkoja Vilniaus techni</w:t>
      </w:r>
      <w:r w:rsidR="008811CA">
        <w:rPr>
          <w:rFonts w:ascii="Cambria" w:eastAsia="Calibri" w:hAnsi="Cambria" w:cs="Cambria"/>
          <w:lang w:val="lt-LT" w:eastAsia="lt-LT"/>
        </w:rPr>
        <w:t>kos U</w:t>
      </w:r>
      <w:r w:rsidRPr="00827E4A">
        <w:rPr>
          <w:rFonts w:ascii="Cambria" w:eastAsia="Calibri" w:hAnsi="Cambria" w:cs="Cambria"/>
          <w:lang w:val="lt-LT" w:eastAsia="lt-LT"/>
        </w:rPr>
        <w:t>niversiteto darbuotojams, kurie sudėtingomis sąlygomis pateikė vertinimui reikalingą informaciją, o taip pat studentams, absolventams ir darbdaviams už tai, kad skyrė savo laiką pokalbiams. Ekspertų komisija labai apgailestauja, kad šį kartą negalėjo apsilankyti asmeniškai, ir labai vertina visų suinteresuotųjų šalių pagalbą organizuojant „virtualų vizitą“.</w:t>
      </w:r>
    </w:p>
    <w:p w14:paraId="004A4BB9" w14:textId="77777777" w:rsidR="00827E4A" w:rsidRPr="00827E4A" w:rsidRDefault="00827E4A" w:rsidP="00827E4A">
      <w:pPr>
        <w:spacing w:after="200" w:line="276" w:lineRule="auto"/>
        <w:rPr>
          <w:rFonts w:ascii="Cambria" w:eastAsia="Calibri" w:hAnsi="Cambria" w:cs="Cambria"/>
          <w:lang w:val="lt-LT" w:eastAsia="lt-LT"/>
        </w:rPr>
      </w:pPr>
    </w:p>
    <w:p w14:paraId="0AFA3149" w14:textId="77777777" w:rsidR="00827E4A" w:rsidRPr="00C72D32" w:rsidRDefault="00827E4A" w:rsidP="00827E4A">
      <w:pPr>
        <w:keepNext/>
        <w:keepLines/>
        <w:tabs>
          <w:tab w:val="left" w:pos="680"/>
        </w:tabs>
        <w:spacing w:before="240" w:after="240"/>
        <w:ind w:left="360"/>
        <w:jc w:val="center"/>
        <w:outlineLvl w:val="1"/>
        <w:rPr>
          <w:rFonts w:ascii="Cambria" w:hAnsi="Cambria"/>
          <w:b/>
          <w:bCs/>
          <w:caps/>
          <w:color w:val="136C73"/>
          <w:sz w:val="36"/>
          <w:szCs w:val="26"/>
          <w:lang w:val="lt-LT" w:eastAsia="lt-LT"/>
        </w:rPr>
      </w:pPr>
    </w:p>
    <w:p w14:paraId="0388A56D" w14:textId="62864996" w:rsidR="000D4EE3" w:rsidRPr="00C5787E" w:rsidRDefault="000D4EE3" w:rsidP="000D4EE3">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2C3F08E9" w14:textId="77777777" w:rsidR="000D4EE3" w:rsidRPr="0042467A" w:rsidRDefault="000D4EE3" w:rsidP="000D4EE3">
      <w:pPr>
        <w:pStyle w:val="BodyText2"/>
        <w:spacing w:after="0" w:line="240" w:lineRule="auto"/>
        <w:jc w:val="both"/>
        <w:rPr>
          <w:sz w:val="18"/>
          <w:lang w:val="lt-LT"/>
        </w:rPr>
      </w:pPr>
    </w:p>
    <w:p w14:paraId="0945A2F9" w14:textId="77777777" w:rsidR="000D4EE3" w:rsidRDefault="000D4EE3" w:rsidP="000D4EE3">
      <w:pPr>
        <w:pStyle w:val="BodyText2"/>
        <w:spacing w:after="0" w:line="240" w:lineRule="auto"/>
        <w:jc w:val="both"/>
        <w:rPr>
          <w:lang w:val="lt-LT"/>
        </w:rPr>
      </w:pPr>
    </w:p>
    <w:p w14:paraId="4F89D324" w14:textId="77777777" w:rsidR="000D4EE3" w:rsidRPr="00C5787E" w:rsidRDefault="000D4EE3" w:rsidP="000D4EE3">
      <w:pPr>
        <w:pStyle w:val="BodyText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7575FE1E" w14:textId="77777777" w:rsidR="000D4EE3" w:rsidRPr="00C5787E" w:rsidRDefault="000D4EE3" w:rsidP="000D4EE3">
      <w:pPr>
        <w:pStyle w:val="BodyText2"/>
        <w:spacing w:after="0" w:line="240" w:lineRule="auto"/>
        <w:jc w:val="both"/>
        <w:rPr>
          <w:lang w:val="lt-LT"/>
        </w:rPr>
      </w:pPr>
    </w:p>
    <w:p w14:paraId="4AA2B045" w14:textId="77777777" w:rsidR="000D4EE3" w:rsidRDefault="000D4EE3" w:rsidP="000D4EE3">
      <w:pPr>
        <w:pStyle w:val="BodyText2"/>
        <w:spacing w:line="240" w:lineRule="auto"/>
        <w:ind w:left="3888" w:firstLine="1296"/>
        <w:jc w:val="both"/>
        <w:rPr>
          <w:lang w:val="lt-LT"/>
        </w:rPr>
      </w:pPr>
      <w:r w:rsidRPr="00C5787E">
        <w:rPr>
          <w:lang w:val="lt-LT"/>
        </w:rPr>
        <w:t>Vertėjos rekvizitai (vardas, pavardė, parašas)</w:t>
      </w:r>
    </w:p>
    <w:p w14:paraId="5E512C25" w14:textId="77777777" w:rsidR="000D4EE3" w:rsidRDefault="000D4EE3" w:rsidP="000D4EE3">
      <w:pPr>
        <w:pStyle w:val="BodyText2"/>
        <w:spacing w:line="240" w:lineRule="auto"/>
        <w:ind w:left="3888" w:firstLine="1296"/>
        <w:jc w:val="both"/>
        <w:rPr>
          <w:lang w:val="lt-LT"/>
        </w:rPr>
      </w:pPr>
    </w:p>
    <w:p w14:paraId="6B17628D" w14:textId="77777777" w:rsidR="000D4EE3" w:rsidRDefault="000D4EE3" w:rsidP="000D4EE3">
      <w:pPr>
        <w:pStyle w:val="BodyText2"/>
        <w:spacing w:line="240" w:lineRule="auto"/>
        <w:ind w:left="3888" w:firstLine="1296"/>
        <w:jc w:val="both"/>
        <w:rPr>
          <w:lang w:val="lt-LT"/>
        </w:rPr>
      </w:pPr>
    </w:p>
    <w:p w14:paraId="280F19EC" w14:textId="77777777" w:rsidR="00677F9A" w:rsidRPr="00677F9A" w:rsidRDefault="00677F9A" w:rsidP="00677F9A">
      <w:pPr>
        <w:spacing w:after="200" w:line="276" w:lineRule="auto"/>
        <w:rPr>
          <w:rFonts w:ascii="Calibri" w:eastAsia="Calibri" w:hAnsi="Calibri"/>
          <w:sz w:val="22"/>
          <w:szCs w:val="22"/>
          <w:lang w:val="lt-LT" w:eastAsia="lt-LT"/>
        </w:rPr>
      </w:pPr>
    </w:p>
    <w:p w14:paraId="666238B7" w14:textId="77777777" w:rsidR="00677F9A" w:rsidRPr="00677F9A" w:rsidRDefault="00677F9A" w:rsidP="00677F9A">
      <w:pPr>
        <w:keepNext/>
        <w:keepLines/>
        <w:tabs>
          <w:tab w:val="left" w:pos="680"/>
        </w:tabs>
        <w:spacing w:before="240" w:after="240"/>
        <w:ind w:left="360"/>
        <w:outlineLvl w:val="1"/>
        <w:rPr>
          <w:rFonts w:ascii="Cambria" w:hAnsi="Cambria"/>
          <w:b/>
          <w:bCs/>
          <w:caps/>
          <w:color w:val="136C73"/>
          <w:sz w:val="36"/>
          <w:szCs w:val="26"/>
          <w:lang w:val="lt-LT" w:eastAsia="lt-LT"/>
        </w:rPr>
      </w:pPr>
    </w:p>
    <w:p w14:paraId="0CE4372D" w14:textId="77777777" w:rsidR="00677F9A" w:rsidRPr="00677F9A" w:rsidRDefault="00677F9A" w:rsidP="00677F9A">
      <w:pPr>
        <w:spacing w:after="200" w:line="276" w:lineRule="auto"/>
        <w:jc w:val="center"/>
        <w:rPr>
          <w:rFonts w:ascii="Cambria" w:eastAsia="Calibri" w:hAnsi="Cambria"/>
          <w:b/>
          <w:color w:val="136C73"/>
          <w:sz w:val="28"/>
          <w:szCs w:val="28"/>
          <w:lang w:val="lt-LT" w:eastAsia="lt-LT"/>
        </w:rPr>
      </w:pPr>
    </w:p>
    <w:p w14:paraId="07E967ED" w14:textId="4284B060" w:rsidR="009E209B" w:rsidRPr="00C5787E" w:rsidRDefault="009E209B" w:rsidP="00A76858">
      <w:pPr>
        <w:pStyle w:val="BodyText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967F8" w14:textId="77777777" w:rsidR="007935F1" w:rsidRDefault="007935F1" w:rsidP="0042467A">
      <w:r>
        <w:separator/>
      </w:r>
    </w:p>
  </w:endnote>
  <w:endnote w:type="continuationSeparator" w:id="0">
    <w:p w14:paraId="07E967F9" w14:textId="77777777" w:rsidR="007935F1" w:rsidRDefault="007935F1"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67F6" w14:textId="77777777" w:rsidR="007935F1" w:rsidRDefault="007935F1" w:rsidP="0042467A">
      <w:r>
        <w:separator/>
      </w:r>
    </w:p>
  </w:footnote>
  <w:footnote w:type="continuationSeparator" w:id="0">
    <w:p w14:paraId="07E967F7" w14:textId="77777777" w:rsidR="007935F1" w:rsidRDefault="007935F1"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A6"/>
    <w:multiLevelType w:val="multilevel"/>
    <w:tmpl w:val="0D968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8380D"/>
    <w:multiLevelType w:val="multilevel"/>
    <w:tmpl w:val="39F4C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187438"/>
    <w:multiLevelType w:val="multilevel"/>
    <w:tmpl w:val="39F4C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6" w15:restartNumberingAfterBreak="0">
    <w:nsid w:val="0A102B48"/>
    <w:multiLevelType w:val="multilevel"/>
    <w:tmpl w:val="EEE21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553A0C"/>
    <w:multiLevelType w:val="hybridMultilevel"/>
    <w:tmpl w:val="C4D21F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304803C6"/>
    <w:multiLevelType w:val="multilevel"/>
    <w:tmpl w:val="03E84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584E05"/>
    <w:multiLevelType w:val="multilevel"/>
    <w:tmpl w:val="D6E81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583B98"/>
    <w:multiLevelType w:val="hybridMultilevel"/>
    <w:tmpl w:val="2D1CD16E"/>
    <w:lvl w:ilvl="0" w:tplc="0427000F">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0739EC"/>
    <w:multiLevelType w:val="multilevel"/>
    <w:tmpl w:val="C2249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B95A88"/>
    <w:multiLevelType w:val="hybridMultilevel"/>
    <w:tmpl w:val="CF9E7CEE"/>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9" w15:restartNumberingAfterBreak="0">
    <w:nsid w:val="575D62A8"/>
    <w:multiLevelType w:val="hybridMultilevel"/>
    <w:tmpl w:val="1644A95E"/>
    <w:lvl w:ilvl="0" w:tplc="C7021FCC">
      <w:start w:val="1"/>
      <w:numFmt w:val="decimal"/>
      <w:lvlText w:val="(%1)"/>
      <w:lvlJc w:val="left"/>
      <w:pPr>
        <w:ind w:left="1665" w:hanging="1305"/>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3634F4"/>
    <w:multiLevelType w:val="hybridMultilevel"/>
    <w:tmpl w:val="BCE6457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4"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8A42EB8"/>
    <w:multiLevelType w:val="multilevel"/>
    <w:tmpl w:val="0D968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15"/>
  </w:num>
  <w:num w:numId="6">
    <w:abstractNumId w:val="24"/>
  </w:num>
  <w:num w:numId="7">
    <w:abstractNumId w:val="21"/>
  </w:num>
  <w:num w:numId="8">
    <w:abstractNumId w:val="14"/>
  </w:num>
  <w:num w:numId="9">
    <w:abstractNumId w:val="22"/>
  </w:num>
  <w:num w:numId="10">
    <w:abstractNumId w:val="26"/>
  </w:num>
  <w:num w:numId="11">
    <w:abstractNumId w:val="4"/>
  </w:num>
  <w:num w:numId="12">
    <w:abstractNumId w:val="8"/>
  </w:num>
  <w:num w:numId="13">
    <w:abstractNumId w:val="9"/>
  </w:num>
  <w:num w:numId="14">
    <w:abstractNumId w:val="13"/>
  </w:num>
  <w:num w:numId="15">
    <w:abstractNumId w:val="11"/>
  </w:num>
  <w:num w:numId="16">
    <w:abstractNumId w:val="5"/>
  </w:num>
  <w:num w:numId="17">
    <w:abstractNumId w:val="12"/>
  </w:num>
  <w:num w:numId="18">
    <w:abstractNumId w:val="17"/>
  </w:num>
  <w:num w:numId="19">
    <w:abstractNumId w:val="10"/>
  </w:num>
  <w:num w:numId="20">
    <w:abstractNumId w:val="6"/>
  </w:num>
  <w:num w:numId="21">
    <w:abstractNumId w:val="25"/>
  </w:num>
  <w:num w:numId="22">
    <w:abstractNumId w:val="2"/>
  </w:num>
  <w:num w:numId="23">
    <w:abstractNumId w:val="23"/>
  </w:num>
  <w:num w:numId="24">
    <w:abstractNumId w:val="7"/>
  </w:num>
  <w:num w:numId="25">
    <w:abstractNumId w:val="19"/>
  </w:num>
  <w:num w:numId="26">
    <w:abstractNumId w:val="0"/>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7A"/>
    <w:rsid w:val="00026725"/>
    <w:rsid w:val="00030D7B"/>
    <w:rsid w:val="00031C92"/>
    <w:rsid w:val="000550AD"/>
    <w:rsid w:val="000A12D8"/>
    <w:rsid w:val="000B3CEE"/>
    <w:rsid w:val="000D4EE3"/>
    <w:rsid w:val="000F20ED"/>
    <w:rsid w:val="000F38D5"/>
    <w:rsid w:val="000F3C5C"/>
    <w:rsid w:val="000F79B7"/>
    <w:rsid w:val="00113BE2"/>
    <w:rsid w:val="001607BA"/>
    <w:rsid w:val="001639F1"/>
    <w:rsid w:val="00170A83"/>
    <w:rsid w:val="001B20A9"/>
    <w:rsid w:val="001B500A"/>
    <w:rsid w:val="001E5B0C"/>
    <w:rsid w:val="001F4A7C"/>
    <w:rsid w:val="002307AC"/>
    <w:rsid w:val="00281F32"/>
    <w:rsid w:val="00282146"/>
    <w:rsid w:val="002932EE"/>
    <w:rsid w:val="002F0FD3"/>
    <w:rsid w:val="003274FD"/>
    <w:rsid w:val="00335627"/>
    <w:rsid w:val="00347078"/>
    <w:rsid w:val="00384F20"/>
    <w:rsid w:val="00385F18"/>
    <w:rsid w:val="003C2BE5"/>
    <w:rsid w:val="0042467A"/>
    <w:rsid w:val="00455D6D"/>
    <w:rsid w:val="00467FA3"/>
    <w:rsid w:val="004857AE"/>
    <w:rsid w:val="004933C9"/>
    <w:rsid w:val="004A106A"/>
    <w:rsid w:val="004A331D"/>
    <w:rsid w:val="004A3A88"/>
    <w:rsid w:val="004F4AC1"/>
    <w:rsid w:val="00507E52"/>
    <w:rsid w:val="00520741"/>
    <w:rsid w:val="00547334"/>
    <w:rsid w:val="00586F3F"/>
    <w:rsid w:val="005951A5"/>
    <w:rsid w:val="005A5B7E"/>
    <w:rsid w:val="005A6EE0"/>
    <w:rsid w:val="0060015D"/>
    <w:rsid w:val="006501B9"/>
    <w:rsid w:val="00654C95"/>
    <w:rsid w:val="00665FF5"/>
    <w:rsid w:val="006675C3"/>
    <w:rsid w:val="00672F6D"/>
    <w:rsid w:val="00677F9A"/>
    <w:rsid w:val="006A447D"/>
    <w:rsid w:val="006D1CFD"/>
    <w:rsid w:val="007935F1"/>
    <w:rsid w:val="007A56A7"/>
    <w:rsid w:val="007B563E"/>
    <w:rsid w:val="00822851"/>
    <w:rsid w:val="00827E4A"/>
    <w:rsid w:val="00856A4E"/>
    <w:rsid w:val="00880CC9"/>
    <w:rsid w:val="008811CA"/>
    <w:rsid w:val="008D0291"/>
    <w:rsid w:val="008E6E56"/>
    <w:rsid w:val="0093147A"/>
    <w:rsid w:val="0093341B"/>
    <w:rsid w:val="00970BA5"/>
    <w:rsid w:val="009B1A04"/>
    <w:rsid w:val="009C206C"/>
    <w:rsid w:val="009D11FE"/>
    <w:rsid w:val="009D23F6"/>
    <w:rsid w:val="009E209B"/>
    <w:rsid w:val="009E3DC9"/>
    <w:rsid w:val="009E6203"/>
    <w:rsid w:val="009F7697"/>
    <w:rsid w:val="00A0277F"/>
    <w:rsid w:val="00A213D8"/>
    <w:rsid w:val="00A55DA6"/>
    <w:rsid w:val="00A61E4C"/>
    <w:rsid w:val="00A76858"/>
    <w:rsid w:val="00B11312"/>
    <w:rsid w:val="00B16C97"/>
    <w:rsid w:val="00B53B48"/>
    <w:rsid w:val="00B62672"/>
    <w:rsid w:val="00B710F0"/>
    <w:rsid w:val="00BC7225"/>
    <w:rsid w:val="00BD6452"/>
    <w:rsid w:val="00BF6CF4"/>
    <w:rsid w:val="00C218B5"/>
    <w:rsid w:val="00C4000D"/>
    <w:rsid w:val="00C72D32"/>
    <w:rsid w:val="00CF17B4"/>
    <w:rsid w:val="00D32F58"/>
    <w:rsid w:val="00E2437B"/>
    <w:rsid w:val="00E461AF"/>
    <w:rsid w:val="00E644E2"/>
    <w:rsid w:val="00E83E52"/>
    <w:rsid w:val="00EC1A38"/>
    <w:rsid w:val="00ED3A8A"/>
    <w:rsid w:val="00EF7FB8"/>
    <w:rsid w:val="00F04C4A"/>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653A"/>
  <w15:docId w15:val="{8062A476-3552-41CB-948C-F2CC14B5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7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467A"/>
    <w:pPr>
      <w:keepNext/>
      <w:jc w:val="center"/>
      <w:outlineLvl w:val="1"/>
    </w:pPr>
    <w:rPr>
      <w:rFonts w:eastAsia="Arial Unicode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18"/>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rsid w:val="0042467A"/>
    <w:rPr>
      <w:rFonts w:ascii="Times New Roman" w:eastAsia="Arial Unicode MS" w:hAnsi="Times New Roman" w:cs="Times New Roman"/>
      <w:b/>
      <w:szCs w:val="24"/>
      <w:lang w:val="en-GB"/>
    </w:rPr>
  </w:style>
  <w:style w:type="paragraph" w:styleId="Header">
    <w:name w:val="header"/>
    <w:aliases w:val="Char"/>
    <w:basedOn w:val="Normal"/>
    <w:link w:val="HeaderChar"/>
    <w:rsid w:val="0042467A"/>
    <w:pPr>
      <w:tabs>
        <w:tab w:val="center" w:pos="4677"/>
        <w:tab w:val="right" w:pos="9355"/>
      </w:tabs>
    </w:pPr>
  </w:style>
  <w:style w:type="character" w:customStyle="1" w:styleId="HeaderChar">
    <w:name w:val="Header Char"/>
    <w:aliases w:val="Char Char"/>
    <w:basedOn w:val="DefaultParagraphFont"/>
    <w:link w:val="Header"/>
    <w:rsid w:val="0042467A"/>
    <w:rPr>
      <w:rFonts w:ascii="Times New Roman" w:eastAsia="Times New Roman" w:hAnsi="Times New Roman" w:cs="Times New Roman"/>
      <w:sz w:val="24"/>
      <w:szCs w:val="24"/>
      <w:lang w:val="en-GB"/>
    </w:rPr>
  </w:style>
  <w:style w:type="character" w:styleId="Hyperlink">
    <w:name w:val="Hyperlink"/>
    <w:uiPriority w:val="99"/>
    <w:rsid w:val="0042467A"/>
    <w:rPr>
      <w:color w:val="0000FF"/>
      <w:u w:val="single"/>
    </w:rPr>
  </w:style>
  <w:style w:type="paragraph" w:styleId="BodyText">
    <w:name w:val="Body Text"/>
    <w:basedOn w:val="Normal"/>
    <w:link w:val="BodyTextChar"/>
    <w:rsid w:val="0042467A"/>
    <w:pPr>
      <w:tabs>
        <w:tab w:val="num" w:pos="0"/>
      </w:tabs>
      <w:jc w:val="both"/>
    </w:pPr>
    <w:rPr>
      <w:lang w:val="lt-LT"/>
    </w:rPr>
  </w:style>
  <w:style w:type="character" w:customStyle="1" w:styleId="BodyTextChar">
    <w:name w:val="Body Text Char"/>
    <w:basedOn w:val="DefaultParagraphFont"/>
    <w:link w:val="BodyText"/>
    <w:rsid w:val="0042467A"/>
    <w:rPr>
      <w:rFonts w:ascii="Times New Roman" w:eastAsia="Times New Roman" w:hAnsi="Times New Roman" w:cs="Times New Roman"/>
      <w:sz w:val="24"/>
      <w:szCs w:val="24"/>
    </w:rPr>
  </w:style>
  <w:style w:type="paragraph" w:styleId="FootnoteText">
    <w:name w:val="footnote text"/>
    <w:basedOn w:val="Normal"/>
    <w:link w:val="FootnoteTextChar"/>
    <w:semiHidden/>
    <w:rsid w:val="0042467A"/>
    <w:rPr>
      <w:sz w:val="20"/>
      <w:szCs w:val="20"/>
    </w:rPr>
  </w:style>
  <w:style w:type="character" w:customStyle="1" w:styleId="FootnoteTextChar">
    <w:name w:val="Footnote Text Char"/>
    <w:basedOn w:val="DefaultParagraphFont"/>
    <w:link w:val="FootnoteText"/>
    <w:semiHidden/>
    <w:rsid w:val="0042467A"/>
    <w:rPr>
      <w:rFonts w:ascii="Times New Roman" w:eastAsia="Times New Roman" w:hAnsi="Times New Roman" w:cs="Times New Roman"/>
      <w:sz w:val="20"/>
      <w:szCs w:val="20"/>
      <w:lang w:val="en-GB"/>
    </w:rPr>
  </w:style>
  <w:style w:type="character" w:styleId="FootnoteReference">
    <w:name w:val="footnote reference"/>
    <w:semiHidden/>
    <w:rsid w:val="0042467A"/>
    <w:rPr>
      <w:vertAlign w:val="superscript"/>
    </w:rPr>
  </w:style>
  <w:style w:type="paragraph" w:styleId="BalloonText">
    <w:name w:val="Balloon Text"/>
    <w:basedOn w:val="Normal"/>
    <w:link w:val="BalloonTextChar"/>
    <w:uiPriority w:val="99"/>
    <w:semiHidden/>
    <w:unhideWhenUsed/>
    <w:rsid w:val="0042467A"/>
    <w:rPr>
      <w:rFonts w:ascii="Tahoma" w:hAnsi="Tahoma" w:cs="Tahoma"/>
      <w:sz w:val="16"/>
      <w:szCs w:val="16"/>
    </w:rPr>
  </w:style>
  <w:style w:type="character" w:customStyle="1" w:styleId="BalloonTextChar">
    <w:name w:val="Balloon Text Char"/>
    <w:basedOn w:val="DefaultParagraphFont"/>
    <w:link w:val="BalloonText"/>
    <w:uiPriority w:val="99"/>
    <w:semiHidden/>
    <w:rsid w:val="0042467A"/>
    <w:rPr>
      <w:rFonts w:ascii="Tahoma" w:eastAsia="Times New Roman" w:hAnsi="Tahoma" w:cs="Tahoma"/>
      <w:sz w:val="16"/>
      <w:szCs w:val="16"/>
      <w:lang w:val="en-GB"/>
    </w:rPr>
  </w:style>
  <w:style w:type="paragraph" w:styleId="ListParagraph">
    <w:name w:val="List Paragraph"/>
    <w:basedOn w:val="Normal"/>
    <w:uiPriority w:val="34"/>
    <w:qFormat/>
    <w:rsid w:val="0042467A"/>
    <w:pPr>
      <w:spacing w:line="360" w:lineRule="auto"/>
      <w:ind w:left="720"/>
      <w:contextualSpacing/>
      <w:jc w:val="both"/>
    </w:pPr>
  </w:style>
  <w:style w:type="paragraph" w:styleId="BodyText2">
    <w:name w:val="Body Text 2"/>
    <w:basedOn w:val="Normal"/>
    <w:link w:val="BodyText2Char"/>
    <w:rsid w:val="0042467A"/>
    <w:pPr>
      <w:spacing w:after="120" w:line="480" w:lineRule="auto"/>
    </w:pPr>
  </w:style>
  <w:style w:type="character" w:customStyle="1" w:styleId="BodyText2Char">
    <w:name w:val="Body Text 2 Char"/>
    <w:basedOn w:val="DefaultParagraphFont"/>
    <w:link w:val="BodyText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
    <w:name w:val="Heading 1 Char"/>
    <w:basedOn w:val="DefaultParagraphFont"/>
    <w:link w:val="Heading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2307AC"/>
    <w:rPr>
      <w:sz w:val="16"/>
      <w:szCs w:val="16"/>
    </w:rPr>
  </w:style>
  <w:style w:type="paragraph" w:styleId="CommentText">
    <w:name w:val="annotation text"/>
    <w:basedOn w:val="Normal"/>
    <w:link w:val="CommentTextChar"/>
    <w:uiPriority w:val="99"/>
    <w:semiHidden/>
    <w:unhideWhenUsed/>
    <w:rsid w:val="002307AC"/>
    <w:rPr>
      <w:sz w:val="20"/>
      <w:szCs w:val="20"/>
    </w:rPr>
  </w:style>
  <w:style w:type="character" w:customStyle="1" w:styleId="CommentTextChar">
    <w:name w:val="Comment Text Char"/>
    <w:basedOn w:val="DefaultParagraphFont"/>
    <w:link w:val="CommentText"/>
    <w:uiPriority w:val="99"/>
    <w:semiHidden/>
    <w:rsid w:val="002307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07AC"/>
    <w:rPr>
      <w:b/>
      <w:bCs/>
    </w:rPr>
  </w:style>
  <w:style w:type="character" w:customStyle="1" w:styleId="CommentSubjectChar">
    <w:name w:val="Comment Subject Char"/>
    <w:basedOn w:val="CommentTextChar"/>
    <w:link w:val="CommentSubject"/>
    <w:uiPriority w:val="99"/>
    <w:semiHidden/>
    <w:rsid w:val="002307AC"/>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6501B9"/>
  </w:style>
  <w:style w:type="table" w:styleId="TableGrid">
    <w:name w:val="Table Grid"/>
    <w:basedOn w:val="TableNorma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3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lniustech.lt/stojantiesiems/bakalauro-ir-vientisosios-studijos/konkursiniai-balai/konkursinio-balo-sandara/3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D89F-AD4B-427B-9243-0BF67B55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17633</Words>
  <Characters>10052</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Giedrutė Mikaločienė</cp:lastModifiedBy>
  <cp:revision>2</cp:revision>
  <cp:lastPrinted>2017-08-18T07:39:00Z</cp:lastPrinted>
  <dcterms:created xsi:type="dcterms:W3CDTF">2023-01-10T08:58:00Z</dcterms:created>
  <dcterms:modified xsi:type="dcterms:W3CDTF">2023-01-10T08:58:00Z</dcterms:modified>
</cp:coreProperties>
</file>